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jc w:val="center"/>
        <w:ind w:right="120"/>
        <w:spacing w:after="0" w:line="320" w:lineRule="exact"/>
        <w:rPr>
          <w:sz w:val="20"/>
          <w:szCs w:val="20"/>
          <w:color w:val="auto"/>
        </w:rPr>
      </w:pPr>
      <w:r>
        <w:rPr>
          <w:rFonts w:ascii="宋体" w:cs="宋体" w:eastAsia="宋体" w:hAnsi="宋体"/>
          <w:sz w:val="28"/>
          <w:szCs w:val="28"/>
          <w:b w:val="1"/>
          <w:bCs w:val="1"/>
          <w:color w:val="auto"/>
        </w:rPr>
        <w:t>加州大学洛杉矶分校学期常规交流项目及商科项目简介</w:t>
      </w:r>
    </w:p>
    <w:p>
      <w:pPr>
        <w:spacing w:after="0" w:line="200" w:lineRule="exact"/>
        <w:rPr>
          <w:sz w:val="24"/>
          <w:szCs w:val="24"/>
          <w:color w:val="auto"/>
        </w:rPr>
      </w:pPr>
    </w:p>
    <w:p>
      <w:pPr>
        <w:spacing w:after="0" w:line="374" w:lineRule="exact"/>
        <w:rPr>
          <w:sz w:val="24"/>
          <w:szCs w:val="24"/>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一、</w:t>
      </w:r>
      <w:r>
        <w:rPr>
          <w:sz w:val="20"/>
          <w:szCs w:val="20"/>
          <w:color w:val="auto"/>
        </w:rPr>
        <w:tab/>
      </w:r>
      <w:r>
        <w:rPr>
          <w:rFonts w:ascii="宋体" w:cs="宋体" w:eastAsia="宋体" w:hAnsi="宋体"/>
          <w:sz w:val="20"/>
          <w:szCs w:val="20"/>
          <w:b w:val="1"/>
          <w:bCs w:val="1"/>
          <w:color w:val="auto"/>
        </w:rPr>
        <w:t>大学简介</w:t>
      </w:r>
    </w:p>
    <w:p>
      <w:pPr>
        <w:spacing w:after="0" w:line="379" w:lineRule="exact"/>
        <w:rPr>
          <w:sz w:val="24"/>
          <w:szCs w:val="24"/>
          <w:color w:val="auto"/>
        </w:rPr>
      </w:pPr>
    </w:p>
    <w:p>
      <w:pPr>
        <w:spacing w:after="0" w:line="326" w:lineRule="exact"/>
        <w:rPr>
          <w:sz w:val="20"/>
          <w:szCs w:val="20"/>
          <w:color w:val="auto"/>
        </w:rPr>
      </w:pPr>
      <w:r>
        <w:rPr>
          <w:rFonts w:ascii="宋体" w:cs="宋体" w:eastAsia="宋体" w:hAnsi="宋体"/>
          <w:sz w:val="20"/>
          <w:szCs w:val="20"/>
          <w:color w:val="auto"/>
        </w:rPr>
        <w:t>加州大学洛杉矶分校（简称</w:t>
      </w:r>
      <w:r>
        <w:rPr>
          <w:rFonts w:ascii="Arial Narrow" w:cs="Arial Narrow" w:eastAsia="Arial Narrow" w:hAnsi="Arial Narrow"/>
          <w:sz w:val="20"/>
          <w:szCs w:val="20"/>
          <w:color w:val="auto"/>
        </w:rPr>
        <w:t xml:space="preserve"> UCLA</w:t>
      </w:r>
      <w:r>
        <w:rPr>
          <w:rFonts w:ascii="宋体" w:cs="宋体" w:eastAsia="宋体" w:hAnsi="宋体"/>
          <w:sz w:val="20"/>
          <w:szCs w:val="20"/>
          <w:color w:val="auto"/>
        </w:rPr>
        <w:t>）位于美国加利福尼亚州洛杉矶市西木区（</w:t>
      </w:r>
      <w:r>
        <w:rPr>
          <w:rFonts w:ascii="Arial Narrow" w:cs="Arial Narrow" w:eastAsia="Arial Narrow" w:hAnsi="Arial Narrow"/>
          <w:sz w:val="20"/>
          <w:szCs w:val="20"/>
          <w:color w:val="auto"/>
        </w:rPr>
        <w:t>Westwood</w:t>
      </w:r>
      <w:r>
        <w:rPr>
          <w:rFonts w:ascii="宋体" w:cs="宋体" w:eastAsia="宋体" w:hAnsi="宋体"/>
          <w:sz w:val="20"/>
          <w:szCs w:val="20"/>
          <w:color w:val="auto"/>
        </w:rPr>
        <w:t>），是加利福尼亚大学系统中的第二所大学，和加州大学伯克利分校（</w:t>
      </w:r>
      <w:r>
        <w:rPr>
          <w:rFonts w:ascii="Arial Narrow" w:cs="Arial Narrow" w:eastAsia="Arial Narrow" w:hAnsi="Arial Narrow"/>
          <w:sz w:val="20"/>
          <w:szCs w:val="20"/>
          <w:color w:val="auto"/>
        </w:rPr>
        <w:t>UC Berkeley</w:t>
      </w:r>
      <w:r>
        <w:rPr>
          <w:rFonts w:ascii="宋体" w:cs="宋体" w:eastAsia="宋体" w:hAnsi="宋体"/>
          <w:sz w:val="20"/>
          <w:szCs w:val="20"/>
          <w:color w:val="auto"/>
        </w:rPr>
        <w:t>）齐名是美国乃至世界最顶尖的综合大学之一。</w:t>
      </w:r>
    </w:p>
    <w:p>
      <w:pPr>
        <w:spacing w:after="0" w:line="301" w:lineRule="exact"/>
        <w:rPr>
          <w:sz w:val="24"/>
          <w:szCs w:val="24"/>
          <w:color w:val="auto"/>
        </w:rPr>
      </w:pPr>
    </w:p>
    <w:p>
      <w:pPr>
        <w:jc w:val="both"/>
        <w:ind w:right="100"/>
        <w:spacing w:after="0" w:line="303" w:lineRule="exact"/>
        <w:rPr>
          <w:sz w:val="20"/>
          <w:szCs w:val="20"/>
          <w:color w:val="auto"/>
        </w:rPr>
      </w:pP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拥有人文社科学院及</w:t>
      </w:r>
      <w:r>
        <w:rPr>
          <w:rFonts w:ascii="Arial Narrow" w:cs="Arial Narrow" w:eastAsia="Arial Narrow" w:hAnsi="Arial Narrow"/>
          <w:sz w:val="21"/>
          <w:szCs w:val="21"/>
          <w:color w:val="auto"/>
        </w:rPr>
        <w:t xml:space="preserve"> 11 </w:t>
      </w:r>
      <w:r>
        <w:rPr>
          <w:rFonts w:ascii="宋体" w:cs="宋体" w:eastAsia="宋体" w:hAnsi="宋体"/>
          <w:sz w:val="21"/>
          <w:szCs w:val="21"/>
          <w:color w:val="auto"/>
        </w:rPr>
        <w:t>个专业学院，在校生达</w:t>
      </w:r>
      <w:r>
        <w:rPr>
          <w:rFonts w:ascii="Arial Narrow" w:cs="Arial Narrow" w:eastAsia="Arial Narrow" w:hAnsi="Arial Narrow"/>
          <w:sz w:val="21"/>
          <w:szCs w:val="21"/>
          <w:color w:val="auto"/>
        </w:rPr>
        <w:t xml:space="preserve"> 40000 </w:t>
      </w:r>
      <w:r>
        <w:rPr>
          <w:rFonts w:ascii="宋体" w:cs="宋体" w:eastAsia="宋体" w:hAnsi="宋体"/>
          <w:sz w:val="21"/>
          <w:szCs w:val="21"/>
          <w:color w:val="auto"/>
        </w:rPr>
        <w:t>名，是加州系统中最大的学校，也是最具竞争力的学校之一。</w:t>
      </w: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是美国商业金融、高科技产业、电影艺术等专业人才的摇篮，是全美培养尖端人才领域最广的大学。</w:t>
      </w: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就读学生学术水平优秀，并且具有多样性，虽然大部分学生来自加州，但也有来自全美各州及</w:t>
      </w:r>
      <w:r>
        <w:rPr>
          <w:rFonts w:ascii="Arial Narrow" w:cs="Arial Narrow" w:eastAsia="Arial Narrow" w:hAnsi="Arial Narrow"/>
          <w:sz w:val="21"/>
          <w:szCs w:val="21"/>
          <w:color w:val="auto"/>
        </w:rPr>
        <w:t xml:space="preserve"> 63 </w:t>
      </w:r>
      <w:r>
        <w:rPr>
          <w:rFonts w:ascii="宋体" w:cs="宋体" w:eastAsia="宋体" w:hAnsi="宋体"/>
          <w:sz w:val="21"/>
          <w:szCs w:val="21"/>
          <w:color w:val="auto"/>
        </w:rPr>
        <w:t>个国家和地区的学生，多年以来</w:t>
      </w:r>
      <w:r>
        <w:rPr>
          <w:rFonts w:ascii="Arial Narrow" w:cs="Arial Narrow" w:eastAsia="Arial Narrow" w:hAnsi="Arial Narrow"/>
          <w:sz w:val="21"/>
          <w:szCs w:val="21"/>
          <w:color w:val="auto"/>
        </w:rPr>
        <w:t xml:space="preserve"> UCLA </w:t>
      </w:r>
      <w:r>
        <w:rPr>
          <w:rFonts w:ascii="宋体" w:cs="宋体" w:eastAsia="宋体" w:hAnsi="宋体"/>
          <w:sz w:val="21"/>
          <w:szCs w:val="21"/>
          <w:color w:val="auto"/>
        </w:rPr>
        <w:t>一直是最受国际学生喜爱的目的地。在</w:t>
      </w:r>
      <w:r>
        <w:rPr>
          <w:rFonts w:ascii="Arial Narrow" w:cs="Arial Narrow" w:eastAsia="Arial Narrow" w:hAnsi="Arial Narrow"/>
          <w:sz w:val="21"/>
          <w:szCs w:val="21"/>
          <w:color w:val="auto"/>
        </w:rPr>
        <w:t xml:space="preserve"> UCLA </w:t>
      </w:r>
      <w:r>
        <w:rPr>
          <w:rFonts w:ascii="宋体" w:cs="宋体" w:eastAsia="宋体" w:hAnsi="宋体"/>
          <w:sz w:val="21"/>
          <w:szCs w:val="21"/>
          <w:color w:val="auto"/>
        </w:rPr>
        <w:t>任教的教职员工也以其优异的学术水平以及敬业的工作态度为</w:t>
      </w:r>
      <w:r>
        <w:rPr>
          <w:rFonts w:ascii="Arial Narrow" w:cs="Arial Narrow" w:eastAsia="Arial Narrow" w:hAnsi="Arial Narrow"/>
          <w:sz w:val="21"/>
          <w:szCs w:val="21"/>
          <w:color w:val="auto"/>
        </w:rPr>
        <w:t xml:space="preserve"> UCLA </w:t>
      </w:r>
      <w:r>
        <w:rPr>
          <w:rFonts w:ascii="宋体" w:cs="宋体" w:eastAsia="宋体" w:hAnsi="宋体"/>
          <w:sz w:val="21"/>
          <w:szCs w:val="21"/>
          <w:color w:val="auto"/>
        </w:rPr>
        <w:t>提供了高水平的教学以及科研能力。教职员工多人获得各种荣誉，包括国家科学奖、总统自由奖章、诺贝尔奖、普利策奖及古根海姆奖学金等。</w:t>
      </w:r>
    </w:p>
    <w:p>
      <w:pPr>
        <w:spacing w:after="0" w:line="338" w:lineRule="exact"/>
        <w:rPr>
          <w:sz w:val="24"/>
          <w:szCs w:val="24"/>
          <w:color w:val="auto"/>
        </w:rPr>
      </w:pPr>
    </w:p>
    <w:p>
      <w:pPr>
        <w:jc w:val="both"/>
        <w:ind w:right="120"/>
        <w:spacing w:after="0" w:line="303" w:lineRule="exact"/>
        <w:rPr>
          <w:sz w:val="20"/>
          <w:szCs w:val="20"/>
          <w:color w:val="auto"/>
        </w:rPr>
      </w:pP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的图书馆系统是美国排名前十名最好的图书馆之一，同时提供丰富的体育和娱乐设施，包括很多室外游泳池、网球场、跑道、足球场以及</w:t>
      </w:r>
      <w:r>
        <w:rPr>
          <w:rFonts w:ascii="Arial Narrow" w:cs="Arial Narrow" w:eastAsia="Arial Narrow" w:hAnsi="Arial Narrow"/>
          <w:sz w:val="21"/>
          <w:szCs w:val="21"/>
          <w:color w:val="auto"/>
        </w:rPr>
        <w:t xml:space="preserve"> John R. Wooden </w:t>
      </w:r>
      <w:r>
        <w:rPr>
          <w:rFonts w:ascii="宋体" w:cs="宋体" w:eastAsia="宋体" w:hAnsi="宋体"/>
          <w:sz w:val="21"/>
          <w:szCs w:val="21"/>
          <w:color w:val="auto"/>
        </w:rPr>
        <w:t>中心，丰富了学生的学习和业余生活。</w:t>
      </w:r>
    </w:p>
    <w:p>
      <w:pPr>
        <w:spacing w:after="0" w:line="358" w:lineRule="exact"/>
        <w:rPr>
          <w:sz w:val="24"/>
          <w:szCs w:val="24"/>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二、</w:t>
        <w:tab/>
        <w:t>大学排名及专业排名</w:t>
      </w:r>
    </w:p>
    <w:p>
      <w:pPr>
        <w:spacing w:after="0" w:line="200" w:lineRule="exact"/>
        <w:rPr>
          <w:sz w:val="24"/>
          <w:szCs w:val="24"/>
          <w:color w:val="auto"/>
        </w:rPr>
      </w:pPr>
    </w:p>
    <w:p>
      <w:pPr>
        <w:spacing w:after="0" w:line="263" w:lineRule="exact"/>
        <w:rPr>
          <w:sz w:val="24"/>
          <w:szCs w:val="24"/>
          <w:color w:val="auto"/>
        </w:rPr>
      </w:pPr>
    </w:p>
    <w:p>
      <w:pPr>
        <w:ind w:left="420" w:hanging="420"/>
        <w:spacing w:after="0" w:line="255" w:lineRule="exact"/>
        <w:tabs>
          <w:tab w:leader="none" w:pos="420" w:val="left"/>
        </w:tabs>
        <w:numPr>
          <w:ilvl w:val="0"/>
          <w:numId w:val="1"/>
        </w:numPr>
        <w:rPr>
          <w:rFonts w:ascii="Arial Narrow" w:cs="Arial Narrow" w:eastAsia="Arial Narrow" w:hAnsi="Arial Narrow"/>
          <w:sz w:val="21"/>
          <w:szCs w:val="21"/>
          <w:color w:val="auto"/>
        </w:rPr>
      </w:pPr>
      <w:r>
        <w:rPr>
          <w:rFonts w:ascii="宋体" w:cs="宋体" w:eastAsia="宋体" w:hAnsi="宋体"/>
          <w:sz w:val="21"/>
          <w:szCs w:val="21"/>
          <w:color w:val="auto"/>
        </w:rPr>
        <w:t>综合排名</w:t>
      </w:r>
    </w:p>
    <w:p>
      <w:pPr>
        <w:spacing w:after="0" w:line="119" w:lineRule="exact"/>
        <w:rPr>
          <w:rFonts w:ascii="Arial Narrow" w:cs="Arial Narrow" w:eastAsia="Arial Narrow" w:hAnsi="Arial Narrow"/>
          <w:sz w:val="21"/>
          <w:szCs w:val="21"/>
          <w:color w:val="auto"/>
        </w:rPr>
      </w:pPr>
    </w:p>
    <w:p>
      <w:pPr>
        <w:ind w:left="700" w:hanging="352"/>
        <w:spacing w:after="0" w:line="285" w:lineRule="exact"/>
        <w:tabs>
          <w:tab w:leader="none" w:pos="700" w:val="left"/>
        </w:tabs>
        <w:numPr>
          <w:ilvl w:val="1"/>
          <w:numId w:val="1"/>
        </w:numPr>
        <w:rPr>
          <w:rFonts w:ascii="宋体" w:cs="宋体" w:eastAsia="宋体" w:hAnsi="宋体"/>
          <w:sz w:val="24"/>
          <w:szCs w:val="24"/>
          <w:color w:val="auto"/>
        </w:rPr>
      </w:pPr>
      <w:r>
        <w:rPr>
          <w:rFonts w:ascii="Arial Narrow" w:cs="Arial Narrow" w:eastAsia="Arial Narrow" w:hAnsi="Arial Narrow"/>
          <w:sz w:val="21"/>
          <w:szCs w:val="21"/>
          <w:color w:val="auto"/>
        </w:rPr>
        <w:t xml:space="preserve">2019 US News </w:t>
      </w:r>
      <w:r>
        <w:rPr>
          <w:rFonts w:ascii="宋体" w:cs="宋体" w:eastAsia="宋体" w:hAnsi="宋体"/>
          <w:sz w:val="21"/>
          <w:szCs w:val="21"/>
          <w:color w:val="auto"/>
        </w:rPr>
        <w:t>世界大学排名</w:t>
      </w:r>
      <w:r>
        <w:rPr>
          <w:rFonts w:ascii="Arial Narrow" w:cs="Arial Narrow" w:eastAsia="Arial Narrow" w:hAnsi="Arial Narrow"/>
          <w:sz w:val="21"/>
          <w:szCs w:val="21"/>
          <w:color w:val="auto"/>
        </w:rPr>
        <w:t xml:space="preserve"> 19 </w:t>
      </w:r>
      <w:r>
        <w:rPr>
          <w:rFonts w:ascii="宋体" w:cs="宋体" w:eastAsia="宋体" w:hAnsi="宋体"/>
          <w:sz w:val="21"/>
          <w:szCs w:val="21"/>
          <w:color w:val="auto"/>
        </w:rPr>
        <w:t>位</w:t>
      </w:r>
    </w:p>
    <w:p>
      <w:pPr>
        <w:spacing w:after="0" w:line="73" w:lineRule="exact"/>
        <w:rPr>
          <w:rFonts w:ascii="宋体" w:cs="宋体" w:eastAsia="宋体" w:hAnsi="宋体"/>
          <w:sz w:val="24"/>
          <w:szCs w:val="24"/>
          <w:color w:val="auto"/>
        </w:rPr>
      </w:pPr>
    </w:p>
    <w:p>
      <w:pPr>
        <w:ind w:left="700" w:hanging="352"/>
        <w:spacing w:after="0" w:line="285" w:lineRule="exact"/>
        <w:tabs>
          <w:tab w:leader="none" w:pos="700" w:val="left"/>
        </w:tabs>
        <w:numPr>
          <w:ilvl w:val="1"/>
          <w:numId w:val="1"/>
        </w:numPr>
        <w:rPr>
          <w:rFonts w:ascii="宋体" w:cs="宋体" w:eastAsia="宋体" w:hAnsi="宋体"/>
          <w:sz w:val="24"/>
          <w:szCs w:val="24"/>
          <w:color w:val="auto"/>
        </w:rPr>
      </w:pPr>
      <w:r>
        <w:rPr>
          <w:rFonts w:ascii="Arial Narrow" w:cs="Arial Narrow" w:eastAsia="Arial Narrow" w:hAnsi="Arial Narrow"/>
          <w:sz w:val="21"/>
          <w:szCs w:val="21"/>
          <w:color w:val="auto"/>
        </w:rPr>
        <w:t xml:space="preserve">2019 QS </w:t>
      </w:r>
      <w:r>
        <w:rPr>
          <w:rFonts w:ascii="宋体" w:cs="宋体" w:eastAsia="宋体" w:hAnsi="宋体"/>
          <w:sz w:val="21"/>
          <w:szCs w:val="21"/>
          <w:color w:val="auto"/>
        </w:rPr>
        <w:t>世界大学排名</w:t>
      </w:r>
      <w:r>
        <w:rPr>
          <w:rFonts w:ascii="Arial Narrow" w:cs="Arial Narrow" w:eastAsia="Arial Narrow" w:hAnsi="Arial Narrow"/>
          <w:sz w:val="21"/>
          <w:szCs w:val="21"/>
          <w:color w:val="auto"/>
        </w:rPr>
        <w:t xml:space="preserve"> 32 </w:t>
      </w:r>
      <w:r>
        <w:rPr>
          <w:rFonts w:ascii="宋体" w:cs="宋体" w:eastAsia="宋体" w:hAnsi="宋体"/>
          <w:sz w:val="21"/>
          <w:szCs w:val="21"/>
          <w:color w:val="auto"/>
        </w:rPr>
        <w:t>位</w:t>
      </w:r>
    </w:p>
    <w:p>
      <w:pPr>
        <w:spacing w:after="0" w:line="75" w:lineRule="exact"/>
        <w:rPr>
          <w:rFonts w:ascii="宋体" w:cs="宋体" w:eastAsia="宋体" w:hAnsi="宋体"/>
          <w:sz w:val="24"/>
          <w:szCs w:val="24"/>
          <w:color w:val="auto"/>
        </w:rPr>
      </w:pPr>
    </w:p>
    <w:p>
      <w:pPr>
        <w:ind w:left="700" w:hanging="352"/>
        <w:spacing w:after="0" w:line="285" w:lineRule="exact"/>
        <w:tabs>
          <w:tab w:leader="none" w:pos="700" w:val="left"/>
        </w:tabs>
        <w:numPr>
          <w:ilvl w:val="1"/>
          <w:numId w:val="1"/>
        </w:numPr>
        <w:rPr>
          <w:rFonts w:ascii="宋体" w:cs="宋体" w:eastAsia="宋体" w:hAnsi="宋体"/>
          <w:sz w:val="24"/>
          <w:szCs w:val="24"/>
          <w:color w:val="auto"/>
        </w:rPr>
      </w:pPr>
      <w:r>
        <w:rPr>
          <w:rFonts w:ascii="Arial Narrow" w:cs="Arial Narrow" w:eastAsia="Arial Narrow" w:hAnsi="Arial Narrow"/>
          <w:sz w:val="21"/>
          <w:szCs w:val="21"/>
          <w:color w:val="auto"/>
        </w:rPr>
        <w:t>The Times</w:t>
      </w:r>
      <w:r>
        <w:rPr>
          <w:rFonts w:ascii="宋体" w:cs="宋体" w:eastAsia="宋体" w:hAnsi="宋体"/>
          <w:sz w:val="21"/>
          <w:szCs w:val="21"/>
          <w:color w:val="auto"/>
        </w:rPr>
        <w:t>（</w:t>
      </w:r>
      <w:r>
        <w:rPr>
          <w:rFonts w:ascii="Arial Narrow" w:cs="Arial Narrow" w:eastAsia="Arial Narrow" w:hAnsi="Arial Narrow"/>
          <w:sz w:val="21"/>
          <w:szCs w:val="21"/>
          <w:color w:val="auto"/>
        </w:rPr>
        <w:t>2019</w:t>
      </w:r>
      <w:r>
        <w:rPr>
          <w:rFonts w:ascii="宋体" w:cs="宋体" w:eastAsia="宋体" w:hAnsi="宋体"/>
          <w:sz w:val="21"/>
          <w:szCs w:val="21"/>
          <w:color w:val="auto"/>
        </w:rPr>
        <w:t>）英国大学综合排名第</w:t>
      </w:r>
      <w:r>
        <w:rPr>
          <w:rFonts w:ascii="Arial Narrow" w:cs="Arial Narrow" w:eastAsia="Arial Narrow" w:hAnsi="Arial Narrow"/>
          <w:sz w:val="21"/>
          <w:szCs w:val="21"/>
          <w:color w:val="auto"/>
        </w:rPr>
        <w:t xml:space="preserve"> 8 </w:t>
      </w:r>
      <w:r>
        <w:rPr>
          <w:rFonts w:ascii="宋体" w:cs="宋体" w:eastAsia="宋体" w:hAnsi="宋体"/>
          <w:sz w:val="21"/>
          <w:szCs w:val="21"/>
          <w:color w:val="auto"/>
        </w:rPr>
        <w:t>位</w:t>
      </w:r>
    </w:p>
    <w:p>
      <w:pPr>
        <w:spacing w:after="0" w:line="200" w:lineRule="exact"/>
        <w:rPr>
          <w:rFonts w:ascii="宋体" w:cs="宋体" w:eastAsia="宋体" w:hAnsi="宋体"/>
          <w:sz w:val="24"/>
          <w:szCs w:val="24"/>
          <w:color w:val="auto"/>
        </w:rPr>
      </w:pPr>
    </w:p>
    <w:p>
      <w:pPr>
        <w:spacing w:after="0" w:line="219" w:lineRule="exact"/>
        <w:rPr>
          <w:rFonts w:ascii="宋体" w:cs="宋体" w:eastAsia="宋体" w:hAnsi="宋体"/>
          <w:sz w:val="24"/>
          <w:szCs w:val="24"/>
          <w:color w:val="auto"/>
        </w:rPr>
      </w:pPr>
    </w:p>
    <w:p>
      <w:pPr>
        <w:ind w:left="420" w:hanging="420"/>
        <w:spacing w:after="0" w:line="255" w:lineRule="exact"/>
        <w:tabs>
          <w:tab w:leader="none" w:pos="420" w:val="left"/>
        </w:tabs>
        <w:numPr>
          <w:ilvl w:val="0"/>
          <w:numId w:val="1"/>
        </w:numPr>
        <w:rPr>
          <w:rFonts w:ascii="Arial Narrow" w:cs="Arial Narrow" w:eastAsia="Arial Narrow" w:hAnsi="Arial Narrow"/>
          <w:sz w:val="21"/>
          <w:szCs w:val="21"/>
          <w:color w:val="auto"/>
        </w:rPr>
      </w:pPr>
      <w:r>
        <w:rPr>
          <w:rFonts w:ascii="宋体" w:cs="宋体" w:eastAsia="宋体" w:hAnsi="宋体"/>
          <w:sz w:val="21"/>
          <w:szCs w:val="21"/>
          <w:color w:val="auto"/>
        </w:rPr>
        <w:t>专业排名</w:t>
      </w:r>
    </w:p>
    <w:p>
      <w:pPr>
        <w:spacing w:after="0" w:line="100" w:lineRule="exact"/>
        <w:rPr>
          <w:sz w:val="24"/>
          <w:szCs w:val="24"/>
          <w:color w:val="auto"/>
        </w:rPr>
      </w:pPr>
    </w:p>
    <w:p>
      <w:pPr>
        <w:ind w:left="840"/>
        <w:spacing w:after="0" w:line="255" w:lineRule="exact"/>
        <w:rPr>
          <w:sz w:val="20"/>
          <w:szCs w:val="20"/>
          <w:color w:val="auto"/>
        </w:rPr>
      </w:pPr>
      <w:r>
        <w:rPr>
          <w:rFonts w:ascii="宋体" w:cs="宋体" w:eastAsia="宋体" w:hAnsi="宋体"/>
          <w:sz w:val="21"/>
          <w:szCs w:val="21"/>
          <w:color w:val="auto"/>
        </w:rPr>
        <w:t>教育学院</w:t>
      </w:r>
      <w:r>
        <w:rPr>
          <w:rFonts w:ascii="Arial Narrow" w:cs="Arial Narrow" w:eastAsia="Arial Narrow" w:hAnsi="Arial Narrow"/>
          <w:sz w:val="21"/>
          <w:szCs w:val="21"/>
          <w:color w:val="auto"/>
        </w:rPr>
        <w:t xml:space="preserve"> #3</w:t>
      </w:r>
    </w:p>
    <w:p>
      <w:pPr>
        <w:spacing w:after="0" w:line="106" w:lineRule="exact"/>
        <w:rPr>
          <w:sz w:val="24"/>
          <w:szCs w:val="24"/>
          <w:color w:val="auto"/>
        </w:rPr>
      </w:pPr>
    </w:p>
    <w:p>
      <w:pPr>
        <w:ind w:left="840"/>
        <w:spacing w:after="0" w:line="255" w:lineRule="exact"/>
        <w:rPr>
          <w:sz w:val="20"/>
          <w:szCs w:val="20"/>
          <w:color w:val="auto"/>
        </w:rPr>
      </w:pPr>
      <w:r>
        <w:rPr>
          <w:rFonts w:ascii="宋体" w:cs="宋体" w:eastAsia="宋体" w:hAnsi="宋体"/>
          <w:sz w:val="21"/>
          <w:szCs w:val="21"/>
          <w:color w:val="auto"/>
        </w:rPr>
        <w:t>法学院</w:t>
      </w:r>
      <w:r>
        <w:rPr>
          <w:rFonts w:ascii="Arial Narrow" w:cs="Arial Narrow" w:eastAsia="Arial Narrow" w:hAnsi="Arial Narrow"/>
          <w:sz w:val="21"/>
          <w:szCs w:val="21"/>
          <w:color w:val="auto"/>
        </w:rPr>
        <w:t xml:space="preserve"> #15</w:t>
      </w:r>
    </w:p>
    <w:p>
      <w:pPr>
        <w:spacing w:after="0" w:line="103" w:lineRule="exact"/>
        <w:rPr>
          <w:sz w:val="24"/>
          <w:szCs w:val="24"/>
          <w:color w:val="auto"/>
        </w:rPr>
      </w:pPr>
    </w:p>
    <w:p>
      <w:pPr>
        <w:ind w:left="840"/>
        <w:spacing w:after="0" w:line="255" w:lineRule="exact"/>
        <w:rPr>
          <w:sz w:val="20"/>
          <w:szCs w:val="20"/>
          <w:color w:val="auto"/>
        </w:rPr>
      </w:pPr>
      <w:r>
        <w:rPr>
          <w:rFonts w:ascii="宋体" w:cs="宋体" w:eastAsia="宋体" w:hAnsi="宋体"/>
          <w:sz w:val="21"/>
          <w:szCs w:val="21"/>
          <w:color w:val="auto"/>
        </w:rPr>
        <w:t>商学院</w:t>
      </w:r>
      <w:r>
        <w:rPr>
          <w:rFonts w:ascii="Arial Narrow" w:cs="Arial Narrow" w:eastAsia="Arial Narrow" w:hAnsi="Arial Narrow"/>
          <w:sz w:val="21"/>
          <w:szCs w:val="21"/>
          <w:color w:val="auto"/>
        </w:rPr>
        <w:t xml:space="preserve"> #16</w:t>
      </w:r>
    </w:p>
    <w:p>
      <w:pPr>
        <w:spacing w:after="0" w:line="106" w:lineRule="exact"/>
        <w:rPr>
          <w:sz w:val="24"/>
          <w:szCs w:val="24"/>
          <w:color w:val="auto"/>
        </w:rPr>
      </w:pPr>
    </w:p>
    <w:p>
      <w:pPr>
        <w:ind w:left="840"/>
        <w:spacing w:after="0" w:line="255" w:lineRule="exact"/>
        <w:rPr>
          <w:sz w:val="20"/>
          <w:szCs w:val="20"/>
          <w:color w:val="auto"/>
        </w:rPr>
      </w:pPr>
      <w:r>
        <w:rPr>
          <w:rFonts w:ascii="宋体" w:cs="宋体" w:eastAsia="宋体" w:hAnsi="宋体"/>
          <w:sz w:val="21"/>
          <w:szCs w:val="21"/>
          <w:color w:val="auto"/>
        </w:rPr>
        <w:t>工程学院</w:t>
      </w:r>
      <w:r>
        <w:rPr>
          <w:rFonts w:ascii="Arial Narrow" w:cs="Arial Narrow" w:eastAsia="Arial Narrow" w:hAnsi="Arial Narrow"/>
          <w:sz w:val="21"/>
          <w:szCs w:val="21"/>
          <w:color w:val="auto"/>
        </w:rPr>
        <w:t xml:space="preserve"> #18</w:t>
      </w:r>
    </w:p>
    <w:p>
      <w:pPr>
        <w:spacing w:after="0" w:line="103" w:lineRule="exact"/>
        <w:rPr>
          <w:sz w:val="24"/>
          <w:szCs w:val="24"/>
          <w:color w:val="auto"/>
        </w:rPr>
      </w:pPr>
    </w:p>
    <w:p>
      <w:pPr>
        <w:ind w:left="840"/>
        <w:spacing w:after="0" w:line="255" w:lineRule="exact"/>
        <w:rPr>
          <w:sz w:val="20"/>
          <w:szCs w:val="20"/>
          <w:color w:val="auto"/>
        </w:rPr>
      </w:pPr>
      <w:r>
        <w:rPr>
          <w:rFonts w:ascii="宋体" w:cs="宋体" w:eastAsia="宋体" w:hAnsi="宋体"/>
          <w:sz w:val="21"/>
          <w:szCs w:val="21"/>
          <w:color w:val="auto"/>
        </w:rPr>
        <w:t>传播学</w:t>
      </w:r>
      <w:r>
        <w:rPr>
          <w:rFonts w:ascii="Arial Narrow" w:cs="Arial Narrow" w:eastAsia="Arial Narrow" w:hAnsi="Arial Narrow"/>
          <w:sz w:val="21"/>
          <w:szCs w:val="21"/>
          <w:color w:val="auto"/>
        </w:rPr>
        <w:t xml:space="preserve"> #35</w:t>
      </w:r>
    </w:p>
    <w:p>
      <w:pPr>
        <w:spacing w:after="0" w:line="200" w:lineRule="exact"/>
        <w:rPr>
          <w:sz w:val="24"/>
          <w:szCs w:val="24"/>
          <w:color w:val="auto"/>
        </w:rPr>
      </w:pPr>
    </w:p>
    <w:p>
      <w:pPr>
        <w:spacing w:after="0" w:line="281" w:lineRule="exact"/>
        <w:rPr>
          <w:sz w:val="24"/>
          <w:szCs w:val="24"/>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三、</w:t>
        <w:tab/>
        <w:t>项目内容及优势</w:t>
      </w:r>
    </w:p>
    <w:p>
      <w:pPr>
        <w:spacing w:after="0" w:line="200" w:lineRule="exact"/>
        <w:rPr>
          <w:sz w:val="24"/>
          <w:szCs w:val="24"/>
          <w:color w:val="auto"/>
        </w:rPr>
      </w:pPr>
    </w:p>
    <w:p>
      <w:pPr>
        <w:spacing w:after="0" w:line="325" w:lineRule="exact"/>
        <w:rPr>
          <w:sz w:val="24"/>
          <w:szCs w:val="24"/>
          <w:color w:val="auto"/>
        </w:rPr>
      </w:pPr>
    </w:p>
    <w:p>
      <w:pPr>
        <w:ind w:left="420" w:right="100" w:hanging="420"/>
        <w:spacing w:after="0" w:line="276" w:lineRule="exact"/>
        <w:tabs>
          <w:tab w:leader="none" w:pos="420" w:val="left"/>
        </w:tabs>
        <w:numPr>
          <w:ilvl w:val="0"/>
          <w:numId w:val="2"/>
        </w:numPr>
        <w:rPr>
          <w:rFonts w:ascii="宋体" w:cs="宋体" w:eastAsia="宋体" w:hAnsi="宋体"/>
          <w:sz w:val="24"/>
          <w:szCs w:val="24"/>
          <w:color w:val="auto"/>
        </w:rPr>
      </w:pPr>
      <w:r>
        <w:rPr>
          <w:rFonts w:ascii="宋体" w:cs="宋体" w:eastAsia="宋体" w:hAnsi="宋体"/>
          <w:sz w:val="21"/>
          <w:szCs w:val="21"/>
          <w:color w:val="auto"/>
        </w:rPr>
        <w:t>学生可在加州大学洛杉矶分校进行一个学期或一个学年的交流学习，与美国当地及其他国际学生一起从师于知名学者、进行专业课学习，零距离体验原汁原味的世界级公立名校学习氛围；</w:t>
      </w:r>
    </w:p>
    <w:p>
      <w:pPr>
        <w:spacing w:after="0" w:line="101" w:lineRule="exact"/>
        <w:rPr>
          <w:rFonts w:ascii="宋体" w:cs="宋体" w:eastAsia="宋体" w:hAnsi="宋体"/>
          <w:sz w:val="24"/>
          <w:szCs w:val="24"/>
          <w:color w:val="auto"/>
        </w:rPr>
      </w:pPr>
    </w:p>
    <w:p>
      <w:pPr>
        <w:ind w:left="420" w:hanging="420"/>
        <w:spacing w:after="0" w:line="274" w:lineRule="exact"/>
        <w:tabs>
          <w:tab w:leader="none" w:pos="420" w:val="left"/>
        </w:tabs>
        <w:numPr>
          <w:ilvl w:val="0"/>
          <w:numId w:val="2"/>
        </w:numPr>
        <w:rPr>
          <w:rFonts w:ascii="宋体" w:cs="宋体" w:eastAsia="宋体" w:hAnsi="宋体"/>
          <w:sz w:val="24"/>
          <w:szCs w:val="24"/>
          <w:color w:val="auto"/>
        </w:rPr>
      </w:pPr>
      <w:r>
        <w:rPr>
          <w:rFonts w:ascii="宋体" w:cs="宋体" w:eastAsia="宋体" w:hAnsi="宋体"/>
          <w:sz w:val="21"/>
          <w:szCs w:val="21"/>
          <w:color w:val="auto"/>
        </w:rPr>
        <w:t>学生可通过加州大学洛杉矶分校国际部注册学习该校本科常规专业课程，并获得学校提供的官方成绩</w:t>
      </w:r>
    </w:p>
    <w:p>
      <w:pPr>
        <w:spacing w:after="0" w:line="254" w:lineRule="exact"/>
        <w:rPr>
          <w:sz w:val="24"/>
          <w:szCs w:val="24"/>
          <w:color w:val="auto"/>
        </w:rPr>
      </w:pPr>
    </w:p>
    <w:p>
      <w:pPr>
        <w:jc w:val="center"/>
        <w:ind w:right="120"/>
        <w:spacing w:after="0"/>
        <w:rPr>
          <w:sz w:val="20"/>
          <w:szCs w:val="20"/>
          <w:color w:val="auto"/>
        </w:rPr>
      </w:pPr>
      <w:r>
        <w:rPr>
          <w:rFonts w:ascii="Arial Narrow" w:cs="Arial Narrow" w:eastAsia="Arial Narrow" w:hAnsi="Arial Narrow"/>
          <w:sz w:val="18"/>
          <w:szCs w:val="18"/>
          <w:color w:val="auto"/>
        </w:rPr>
        <w:t>1</w:t>
      </w:r>
    </w:p>
    <w:p>
      <w:pPr>
        <w:sectPr>
          <w:pgSz w:w="11900" w:h="16838" w:orient="portrait"/>
          <w:cols w:equalWidth="0" w:num="1">
            <w:col w:w="9860"/>
          </w:cols>
          <w:pgMar w:left="1080" w:top="1440" w:right="966" w:bottom="675"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单以及相应学分，同时可申请获得名校教授推荐信，为以后申研助力；</w:t>
      </w:r>
    </w:p>
    <w:p>
      <w:pPr>
        <w:spacing w:after="0" w:line="119" w:lineRule="exact"/>
        <w:rPr>
          <w:sz w:val="20"/>
          <w:szCs w:val="20"/>
          <w:color w:val="auto"/>
        </w:rPr>
      </w:pPr>
    </w:p>
    <w:p>
      <w:pPr>
        <w:ind w:left="420" w:hanging="420"/>
        <w:spacing w:after="0" w:line="285" w:lineRule="exact"/>
        <w:tabs>
          <w:tab w:leader="none" w:pos="420" w:val="left"/>
        </w:tabs>
        <w:numPr>
          <w:ilvl w:val="0"/>
          <w:numId w:val="3"/>
        </w:numPr>
        <w:rPr>
          <w:rFonts w:ascii="宋体" w:cs="宋体" w:eastAsia="宋体" w:hAnsi="宋体"/>
          <w:sz w:val="24"/>
          <w:szCs w:val="24"/>
          <w:color w:val="auto"/>
        </w:rPr>
      </w:pPr>
      <w:r>
        <w:rPr>
          <w:rFonts w:ascii="宋体" w:cs="宋体" w:eastAsia="宋体" w:hAnsi="宋体"/>
          <w:sz w:val="21"/>
          <w:szCs w:val="21"/>
          <w:color w:val="auto"/>
        </w:rPr>
        <w:t>学生持</w:t>
      </w:r>
      <w:r>
        <w:rPr>
          <w:rFonts w:ascii="Arial Narrow" w:cs="Arial Narrow" w:eastAsia="Arial Narrow" w:hAnsi="Arial Narrow"/>
          <w:sz w:val="21"/>
          <w:szCs w:val="21"/>
          <w:color w:val="auto"/>
        </w:rPr>
        <w:t xml:space="preserve"> F-1 </w:t>
      </w:r>
      <w:r>
        <w:rPr>
          <w:rFonts w:ascii="宋体" w:cs="宋体" w:eastAsia="宋体" w:hAnsi="宋体"/>
          <w:sz w:val="21"/>
          <w:szCs w:val="21"/>
          <w:color w:val="auto"/>
        </w:rPr>
        <w:t>学生签证赴美学习，为以后赴美保有良好入境记录；</w:t>
      </w:r>
    </w:p>
    <w:p>
      <w:pPr>
        <w:spacing w:after="0" w:line="73" w:lineRule="exact"/>
        <w:rPr>
          <w:rFonts w:ascii="宋体" w:cs="宋体" w:eastAsia="宋体" w:hAnsi="宋体"/>
          <w:sz w:val="24"/>
          <w:szCs w:val="24"/>
          <w:color w:val="auto"/>
        </w:rPr>
      </w:pPr>
    </w:p>
    <w:p>
      <w:pPr>
        <w:ind w:left="420" w:hanging="420"/>
        <w:spacing w:after="0" w:line="301" w:lineRule="exact"/>
        <w:tabs>
          <w:tab w:leader="none" w:pos="420" w:val="left"/>
        </w:tabs>
        <w:numPr>
          <w:ilvl w:val="0"/>
          <w:numId w:val="3"/>
        </w:numPr>
        <w:rPr>
          <w:rFonts w:ascii="宋体" w:cs="宋体" w:eastAsia="宋体" w:hAnsi="宋体"/>
          <w:sz w:val="24"/>
          <w:szCs w:val="24"/>
          <w:color w:val="auto"/>
        </w:rPr>
      </w:pPr>
      <w:r>
        <w:rPr>
          <w:rFonts w:ascii="宋体" w:cs="宋体" w:eastAsia="宋体" w:hAnsi="宋体"/>
          <w:sz w:val="21"/>
          <w:szCs w:val="21"/>
          <w:color w:val="auto"/>
        </w:rPr>
        <w:t>学生可享受</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提供的各项优质服务。紧急情况下，</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美国总部也能够极为方便的为同学提供就地帮助及服务。</w:t>
      </w:r>
    </w:p>
    <w:p>
      <w:pPr>
        <w:spacing w:after="0" w:line="200" w:lineRule="exact"/>
        <w:rPr>
          <w:rFonts w:ascii="宋体" w:cs="宋体" w:eastAsia="宋体" w:hAnsi="宋体"/>
          <w:sz w:val="24"/>
          <w:szCs w:val="24"/>
          <w:color w:val="auto"/>
        </w:rPr>
      </w:pPr>
    </w:p>
    <w:p>
      <w:pPr>
        <w:spacing w:after="0" w:line="272" w:lineRule="exact"/>
        <w:rPr>
          <w:rFonts w:ascii="宋体" w:cs="宋体" w:eastAsia="宋体" w:hAnsi="宋体"/>
          <w:sz w:val="24"/>
          <w:szCs w:val="24"/>
          <w:color w:val="auto"/>
        </w:rPr>
      </w:pPr>
    </w:p>
    <w:p>
      <w:pPr>
        <w:ind w:left="420" w:hanging="420"/>
        <w:spacing w:after="0" w:line="302" w:lineRule="exact"/>
        <w:tabs>
          <w:tab w:leader="none" w:pos="420" w:val="left"/>
        </w:tabs>
        <w:numPr>
          <w:ilvl w:val="0"/>
          <w:numId w:val="3"/>
        </w:numPr>
        <w:rPr>
          <w:rFonts w:ascii="宋体" w:cs="宋体" w:eastAsia="宋体" w:hAnsi="宋体"/>
          <w:sz w:val="24"/>
          <w:szCs w:val="24"/>
          <w:color w:val="auto"/>
        </w:rPr>
      </w:pPr>
      <w:r>
        <w:rPr>
          <w:rFonts w:ascii="宋体" w:cs="宋体" w:eastAsia="宋体" w:hAnsi="宋体"/>
          <w:sz w:val="21"/>
          <w:szCs w:val="21"/>
          <w:b w:val="1"/>
          <w:bCs w:val="1"/>
          <w:color w:val="auto"/>
        </w:rPr>
        <w:t>商科项目 （</w:t>
      </w:r>
      <w:r>
        <w:rPr>
          <w:rFonts w:ascii="Arial Narrow" w:cs="Arial Narrow" w:eastAsia="Arial Narrow" w:hAnsi="Arial Narrow"/>
          <w:sz w:val="21"/>
          <w:szCs w:val="21"/>
          <w:b w:val="1"/>
          <w:bCs w:val="1"/>
          <w:color w:val="auto"/>
        </w:rPr>
        <w:t>Business Track Program</w:t>
      </w:r>
      <w:r>
        <w:rPr>
          <w:rFonts w:ascii="宋体" w:cs="宋体" w:eastAsia="宋体" w:hAnsi="宋体"/>
          <w:sz w:val="21"/>
          <w:szCs w:val="21"/>
          <w:b w:val="1"/>
          <w:bCs w:val="1"/>
          <w:color w:val="auto"/>
        </w:rPr>
        <w:t>）</w:t>
      </w:r>
      <w:r>
        <w:rPr>
          <w:rFonts w:ascii="宋体" w:cs="宋体" w:eastAsia="宋体" w:hAnsi="宋体"/>
          <w:sz w:val="21"/>
          <w:szCs w:val="21"/>
          <w:color w:val="auto"/>
        </w:rPr>
        <w:t>大大减轻了商科学生课程注册的压力，学生可以较为轻松地选到安德森管理学院的既定课程</w:t>
      </w:r>
    </w:p>
    <w:p>
      <w:pPr>
        <w:spacing w:after="0" w:line="151" w:lineRule="exact"/>
        <w:rPr>
          <w:rFonts w:ascii="宋体" w:cs="宋体" w:eastAsia="宋体" w:hAnsi="宋体"/>
          <w:sz w:val="24"/>
          <w:szCs w:val="24"/>
          <w:color w:val="auto"/>
        </w:rPr>
      </w:pPr>
    </w:p>
    <w:p>
      <w:pPr>
        <w:ind w:left="420"/>
        <w:spacing w:after="0" w:line="284" w:lineRule="exact"/>
        <w:rPr>
          <w:rFonts w:ascii="宋体" w:cs="宋体" w:eastAsia="宋体" w:hAnsi="宋体"/>
          <w:sz w:val="24"/>
          <w:szCs w:val="24"/>
          <w:color w:val="auto"/>
        </w:rPr>
      </w:pPr>
      <w:r>
        <w:rPr>
          <w:rFonts w:ascii="宋体" w:cs="宋体" w:eastAsia="宋体" w:hAnsi="宋体"/>
          <w:sz w:val="21"/>
          <w:szCs w:val="21"/>
          <w:color w:val="auto"/>
        </w:rPr>
        <w:t>由加州大学洛杉矶分校安德森管理学院的经验丰富的讲师授课。学生从项目中可以掌握创业知识和技能，助力学生今后在商业生涯中取得成功。</w:t>
      </w:r>
    </w:p>
    <w:p>
      <w:pPr>
        <w:spacing w:after="0" w:line="103" w:lineRule="exact"/>
        <w:rPr>
          <w:rFonts w:ascii="宋体" w:cs="宋体" w:eastAsia="宋体" w:hAnsi="宋体"/>
          <w:sz w:val="24"/>
          <w:szCs w:val="24"/>
          <w:color w:val="auto"/>
        </w:rPr>
      </w:pPr>
    </w:p>
    <w:p>
      <w:pPr>
        <w:ind w:left="420" w:hanging="420"/>
        <w:spacing w:after="0" w:line="274" w:lineRule="exact"/>
        <w:tabs>
          <w:tab w:leader="none" w:pos="420" w:val="left"/>
        </w:tabs>
        <w:numPr>
          <w:ilvl w:val="0"/>
          <w:numId w:val="3"/>
        </w:numPr>
        <w:rPr>
          <w:rFonts w:ascii="宋体" w:cs="宋体" w:eastAsia="宋体" w:hAnsi="宋体"/>
          <w:sz w:val="24"/>
          <w:szCs w:val="24"/>
          <w:color w:val="auto"/>
        </w:rPr>
      </w:pPr>
      <w:r>
        <w:rPr>
          <w:rFonts w:ascii="宋体" w:cs="宋体" w:eastAsia="宋体" w:hAnsi="宋体"/>
          <w:sz w:val="21"/>
          <w:szCs w:val="21"/>
          <w:color w:val="auto"/>
        </w:rPr>
        <w:t>商科课程内容包括以下方面：制定商业计划，营销和研究分析，以及演讲技能训练。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四、</w:t>
        <w:tab/>
        <w:t>开放专业及课程</w:t>
      </w:r>
    </w:p>
    <w:p>
      <w:pPr>
        <w:spacing w:after="0" w:line="200" w:lineRule="exact"/>
        <w:rPr>
          <w:sz w:val="20"/>
          <w:szCs w:val="20"/>
          <w:color w:val="auto"/>
        </w:rPr>
      </w:pPr>
    </w:p>
    <w:p>
      <w:pPr>
        <w:spacing w:after="0" w:line="255" w:lineRule="exact"/>
        <w:rPr>
          <w:sz w:val="20"/>
          <w:szCs w:val="20"/>
          <w:color w:val="auto"/>
        </w:rPr>
      </w:pPr>
    </w:p>
    <w:p>
      <w:pPr>
        <w:spacing w:after="0" w:line="255" w:lineRule="exact"/>
        <w:rPr>
          <w:sz w:val="20"/>
          <w:szCs w:val="20"/>
          <w:color w:val="auto"/>
        </w:rPr>
      </w:pPr>
      <w:r>
        <w:rPr>
          <w:rFonts w:ascii="宋体" w:cs="宋体" w:eastAsia="宋体" w:hAnsi="宋体"/>
          <w:sz w:val="21"/>
          <w:szCs w:val="21"/>
          <w:b w:val="1"/>
          <w:bCs w:val="1"/>
          <w:color w:val="auto"/>
        </w:rPr>
        <w:t>常规学期项目</w:t>
      </w:r>
      <w:r>
        <w:rPr>
          <w:rFonts w:ascii="Arial Narrow" w:cs="Arial Narrow" w:eastAsia="Arial Narrow" w:hAnsi="Arial Narrow"/>
          <w:sz w:val="21"/>
          <w:szCs w:val="21"/>
          <w:b w:val="1"/>
          <w:bCs w:val="1"/>
          <w:color w:val="auto"/>
        </w:rPr>
        <w:t>:</w:t>
      </w:r>
    </w:p>
    <w:p>
      <w:pPr>
        <w:spacing w:after="0" w:line="114" w:lineRule="exact"/>
        <w:rPr>
          <w:sz w:val="20"/>
          <w:szCs w:val="20"/>
          <w:color w:val="auto"/>
        </w:rPr>
      </w:pPr>
    </w:p>
    <w:p>
      <w:pPr>
        <w:ind w:left="360" w:hanging="360"/>
        <w:spacing w:after="0" w:line="255" w:lineRule="exact"/>
        <w:tabs>
          <w:tab w:leader="none" w:pos="360" w:val="left"/>
        </w:tabs>
        <w:numPr>
          <w:ilvl w:val="0"/>
          <w:numId w:val="4"/>
        </w:numPr>
        <w:rPr>
          <w:rFonts w:ascii="Arial Narrow" w:cs="Arial Narrow" w:eastAsia="Arial Narrow" w:hAnsi="Arial Narrow"/>
          <w:sz w:val="21"/>
          <w:szCs w:val="21"/>
          <w:color w:val="auto"/>
        </w:rPr>
      </w:pPr>
      <w:r>
        <w:rPr>
          <w:rFonts w:ascii="宋体" w:cs="宋体" w:eastAsia="宋体" w:hAnsi="宋体"/>
          <w:sz w:val="21"/>
          <w:szCs w:val="21"/>
          <w:color w:val="auto"/>
        </w:rPr>
        <w:t>开放专业及课程限制：</w:t>
      </w:r>
    </w:p>
    <w:p>
      <w:pPr>
        <w:spacing w:after="0" w:line="100" w:lineRule="exact"/>
        <w:rPr>
          <w:rFonts w:ascii="Arial Narrow" w:cs="Arial Narrow" w:eastAsia="Arial Narrow" w:hAnsi="Arial Narrow"/>
          <w:sz w:val="21"/>
          <w:szCs w:val="21"/>
          <w:color w:val="auto"/>
        </w:rPr>
      </w:pPr>
    </w:p>
    <w:p>
      <w:pPr>
        <w:ind w:left="780" w:hanging="360"/>
        <w:spacing w:after="0" w:line="255" w:lineRule="exact"/>
        <w:tabs>
          <w:tab w:leader="none" w:pos="780" w:val="left"/>
        </w:tabs>
        <w:numPr>
          <w:ilvl w:val="1"/>
          <w:numId w:val="4"/>
        </w:numPr>
        <w:rPr>
          <w:rFonts w:ascii="Wingdings" w:cs="Wingdings" w:eastAsia="Wingdings" w:hAnsi="Wingdings"/>
          <w:sz w:val="21"/>
          <w:szCs w:val="21"/>
          <w:b w:val="1"/>
          <w:bCs w:val="1"/>
          <w:color w:val="auto"/>
        </w:rPr>
      </w:pP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人文社科学院（</w:t>
      </w:r>
      <w:r>
        <w:rPr>
          <w:rFonts w:ascii="Arial Narrow" w:cs="Arial Narrow" w:eastAsia="Arial Narrow" w:hAnsi="Arial Narrow"/>
          <w:sz w:val="21"/>
          <w:szCs w:val="21"/>
          <w:color w:val="auto"/>
        </w:rPr>
        <w:t>College of Letters and Sciences</w:t>
      </w:r>
      <w:r>
        <w:rPr>
          <w:rFonts w:ascii="宋体" w:cs="宋体" w:eastAsia="宋体" w:hAnsi="宋体"/>
          <w:sz w:val="21"/>
          <w:szCs w:val="21"/>
          <w:color w:val="auto"/>
        </w:rPr>
        <w:t>）本科阶段课程及部分本科阶段管理课程；</w:t>
      </w:r>
    </w:p>
    <w:p>
      <w:pPr>
        <w:spacing w:after="0" w:line="108" w:lineRule="exact"/>
        <w:rPr>
          <w:rFonts w:ascii="Wingdings" w:cs="Wingdings" w:eastAsia="Wingdings" w:hAnsi="Wingdings"/>
          <w:sz w:val="21"/>
          <w:szCs w:val="21"/>
          <w:b w:val="1"/>
          <w:bCs w:val="1"/>
          <w:color w:val="auto"/>
        </w:rPr>
      </w:pPr>
    </w:p>
    <w:p>
      <w:pPr>
        <w:ind w:left="780" w:hanging="360"/>
        <w:spacing w:after="0" w:line="255" w:lineRule="exact"/>
        <w:tabs>
          <w:tab w:leader="none" w:pos="780" w:val="left"/>
        </w:tabs>
        <w:numPr>
          <w:ilvl w:val="1"/>
          <w:numId w:val="4"/>
        </w:numPr>
        <w:rPr>
          <w:rFonts w:ascii="Wingdings" w:cs="Wingdings" w:eastAsia="Wingdings" w:hAnsi="Wingdings"/>
          <w:sz w:val="21"/>
          <w:szCs w:val="21"/>
          <w:b w:val="1"/>
          <w:bCs w:val="1"/>
          <w:color w:val="auto"/>
        </w:rPr>
      </w:pPr>
      <w:r>
        <w:rPr>
          <w:rFonts w:ascii="宋体" w:cs="宋体" w:eastAsia="宋体" w:hAnsi="宋体"/>
          <w:sz w:val="21"/>
          <w:szCs w:val="21"/>
          <w:color w:val="auto"/>
        </w:rPr>
        <w:t>以下学院的课程不对交流生开放，包括安德森管理学院、法学院、公共事务学院</w:t>
      </w:r>
    </w:p>
    <w:p>
      <w:pPr>
        <w:spacing w:after="0" w:line="130" w:lineRule="exact"/>
        <w:rPr>
          <w:sz w:val="20"/>
          <w:szCs w:val="20"/>
          <w:color w:val="auto"/>
        </w:rPr>
      </w:pPr>
    </w:p>
    <w:p>
      <w:pPr>
        <w:ind w:left="780" w:hanging="360"/>
        <w:spacing w:after="0"/>
        <w:tabs>
          <w:tab w:leader="none" w:pos="780" w:val="left"/>
        </w:tabs>
        <w:numPr>
          <w:ilvl w:val="0"/>
          <w:numId w:val="5"/>
        </w:numPr>
        <w:rPr>
          <w:rFonts w:ascii="Wingdings" w:cs="Wingdings" w:eastAsia="Wingdings" w:hAnsi="Wingdings"/>
          <w:sz w:val="18"/>
          <w:szCs w:val="18"/>
          <w:b w:val="1"/>
          <w:bCs w:val="1"/>
          <w:color w:val="auto"/>
        </w:rPr>
      </w:pPr>
      <w:r>
        <w:rPr>
          <w:rFonts w:ascii="Calibri" w:cs="Calibri" w:eastAsia="Calibri" w:hAnsi="Calibri"/>
          <w:sz w:val="18"/>
          <w:szCs w:val="18"/>
          <w:color w:val="auto"/>
        </w:rPr>
        <w:t>Anderson School of Management</w:t>
      </w:r>
    </w:p>
    <w:p>
      <w:pPr>
        <w:spacing w:after="0" w:line="140" w:lineRule="exact"/>
        <w:rPr>
          <w:rFonts w:ascii="Wingdings" w:cs="Wingdings" w:eastAsia="Wingdings" w:hAnsi="Wingdings"/>
          <w:sz w:val="18"/>
          <w:szCs w:val="18"/>
          <w:b w:val="1"/>
          <w:bCs w:val="1"/>
          <w:color w:val="auto"/>
        </w:rPr>
      </w:pPr>
    </w:p>
    <w:p>
      <w:pPr>
        <w:ind w:left="780" w:hanging="360"/>
        <w:spacing w:after="0"/>
        <w:tabs>
          <w:tab w:leader="none" w:pos="780" w:val="left"/>
        </w:tabs>
        <w:numPr>
          <w:ilvl w:val="0"/>
          <w:numId w:val="5"/>
        </w:numPr>
        <w:rPr>
          <w:rFonts w:ascii="Wingdings" w:cs="Wingdings" w:eastAsia="Wingdings" w:hAnsi="Wingdings"/>
          <w:sz w:val="18"/>
          <w:szCs w:val="18"/>
          <w:b w:val="1"/>
          <w:bCs w:val="1"/>
          <w:color w:val="auto"/>
        </w:rPr>
      </w:pPr>
      <w:r>
        <w:rPr>
          <w:rFonts w:ascii="Calibri" w:cs="Calibri" w:eastAsia="Calibri" w:hAnsi="Calibri"/>
          <w:sz w:val="18"/>
          <w:szCs w:val="18"/>
          <w:color w:val="auto"/>
        </w:rPr>
        <w:t>School of Law</w:t>
      </w:r>
    </w:p>
    <w:p>
      <w:pPr>
        <w:spacing w:after="0" w:line="137" w:lineRule="exact"/>
        <w:rPr>
          <w:rFonts w:ascii="Wingdings" w:cs="Wingdings" w:eastAsia="Wingdings" w:hAnsi="Wingdings"/>
          <w:sz w:val="18"/>
          <w:szCs w:val="18"/>
          <w:b w:val="1"/>
          <w:bCs w:val="1"/>
          <w:color w:val="auto"/>
        </w:rPr>
      </w:pPr>
    </w:p>
    <w:p>
      <w:pPr>
        <w:ind w:left="780" w:hanging="360"/>
        <w:spacing w:after="0"/>
        <w:tabs>
          <w:tab w:leader="none" w:pos="780" w:val="left"/>
        </w:tabs>
        <w:numPr>
          <w:ilvl w:val="0"/>
          <w:numId w:val="5"/>
        </w:numPr>
        <w:rPr>
          <w:rFonts w:ascii="Wingdings" w:cs="Wingdings" w:eastAsia="Wingdings" w:hAnsi="Wingdings"/>
          <w:sz w:val="18"/>
          <w:szCs w:val="18"/>
          <w:b w:val="1"/>
          <w:bCs w:val="1"/>
          <w:color w:val="auto"/>
        </w:rPr>
      </w:pPr>
      <w:r>
        <w:rPr>
          <w:rFonts w:ascii="Calibri" w:cs="Calibri" w:eastAsia="Calibri" w:hAnsi="Calibri"/>
          <w:sz w:val="18"/>
          <w:szCs w:val="18"/>
          <w:color w:val="auto"/>
        </w:rPr>
        <w:t>School of Public Affairs</w:t>
      </w:r>
    </w:p>
    <w:p>
      <w:pPr>
        <w:spacing w:after="0" w:line="200" w:lineRule="exact"/>
        <w:rPr>
          <w:sz w:val="20"/>
          <w:szCs w:val="20"/>
          <w:color w:val="auto"/>
        </w:rPr>
      </w:pPr>
    </w:p>
    <w:p>
      <w:pPr>
        <w:spacing w:after="0" w:line="268" w:lineRule="exact"/>
        <w:rPr>
          <w:sz w:val="20"/>
          <w:szCs w:val="20"/>
          <w:color w:val="auto"/>
        </w:rPr>
      </w:pPr>
    </w:p>
    <w:p>
      <w:pPr>
        <w:ind w:left="780" w:hanging="360"/>
        <w:spacing w:after="0" w:line="255" w:lineRule="exact"/>
        <w:tabs>
          <w:tab w:leader="none" w:pos="780" w:val="left"/>
        </w:tabs>
        <w:numPr>
          <w:ilvl w:val="0"/>
          <w:numId w:val="6"/>
        </w:numPr>
        <w:rPr>
          <w:rFonts w:ascii="Wingdings" w:cs="Wingdings" w:eastAsia="Wingdings" w:hAnsi="Wingdings"/>
          <w:sz w:val="21"/>
          <w:szCs w:val="21"/>
          <w:b w:val="1"/>
          <w:bCs w:val="1"/>
          <w:color w:val="auto"/>
        </w:rPr>
      </w:pPr>
      <w:r>
        <w:rPr>
          <w:rFonts w:ascii="Arial Narrow" w:cs="Arial Narrow" w:eastAsia="Arial Narrow" w:hAnsi="Arial Narrow"/>
          <w:sz w:val="21"/>
          <w:szCs w:val="21"/>
          <w:color w:val="auto"/>
        </w:rPr>
        <w:t xml:space="preserve">UCLA </w:t>
      </w:r>
      <w:r>
        <w:rPr>
          <w:rFonts w:ascii="宋体" w:cs="宋体" w:eastAsia="宋体" w:hAnsi="宋体"/>
          <w:sz w:val="21"/>
          <w:szCs w:val="21"/>
          <w:color w:val="auto"/>
        </w:rPr>
        <w:t>本科部经济类、心理学、建筑学、统计和工程学院、戏剧电影和电视学院课程不对交流生开</w:t>
      </w:r>
    </w:p>
    <w:p>
      <w:pPr>
        <w:spacing w:after="0" w:line="124" w:lineRule="exact"/>
        <w:rPr>
          <w:sz w:val="20"/>
          <w:szCs w:val="20"/>
          <w:color w:val="auto"/>
        </w:rPr>
      </w:pPr>
    </w:p>
    <w:p>
      <w:pPr>
        <w:ind w:left="780"/>
        <w:spacing w:after="0" w:line="240" w:lineRule="exact"/>
        <w:rPr>
          <w:sz w:val="20"/>
          <w:szCs w:val="20"/>
          <w:color w:val="auto"/>
        </w:rPr>
      </w:pPr>
      <w:r>
        <w:rPr>
          <w:rFonts w:ascii="宋体" w:cs="宋体" w:eastAsia="宋体" w:hAnsi="宋体"/>
          <w:sz w:val="21"/>
          <w:szCs w:val="21"/>
          <w:color w:val="auto"/>
        </w:rPr>
        <w:t>放；</w:t>
      </w:r>
    </w:p>
    <w:p>
      <w:pPr>
        <w:spacing w:after="0" w:line="130" w:lineRule="exact"/>
        <w:rPr>
          <w:sz w:val="20"/>
          <w:szCs w:val="20"/>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School of Theatre, Film &amp; Television</w:t>
      </w:r>
    </w:p>
    <w:p>
      <w:pPr>
        <w:spacing w:after="0" w:line="140" w:lineRule="exact"/>
        <w:rPr>
          <w:rFonts w:ascii="Wingdings" w:cs="Wingdings" w:eastAsia="Wingdings" w:hAnsi="Wingdings"/>
          <w:sz w:val="18"/>
          <w:szCs w:val="18"/>
          <w:b w:val="1"/>
          <w:bCs w:val="1"/>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School of Engineering</w:t>
      </w:r>
    </w:p>
    <w:p>
      <w:pPr>
        <w:spacing w:after="0" w:line="125" w:lineRule="exact"/>
        <w:rPr>
          <w:rFonts w:ascii="Wingdings" w:cs="Wingdings" w:eastAsia="Wingdings" w:hAnsi="Wingdings"/>
          <w:sz w:val="18"/>
          <w:szCs w:val="18"/>
          <w:b w:val="1"/>
          <w:bCs w:val="1"/>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Statistics</w:t>
      </w:r>
    </w:p>
    <w:p>
      <w:pPr>
        <w:spacing w:after="0" w:line="113" w:lineRule="exact"/>
        <w:rPr>
          <w:rFonts w:ascii="Wingdings" w:cs="Wingdings" w:eastAsia="Wingdings" w:hAnsi="Wingdings"/>
          <w:sz w:val="18"/>
          <w:szCs w:val="18"/>
          <w:b w:val="1"/>
          <w:bCs w:val="1"/>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Economics</w:t>
      </w:r>
    </w:p>
    <w:p>
      <w:pPr>
        <w:spacing w:after="0" w:line="111" w:lineRule="exact"/>
        <w:rPr>
          <w:rFonts w:ascii="Wingdings" w:cs="Wingdings" w:eastAsia="Wingdings" w:hAnsi="Wingdings"/>
          <w:sz w:val="18"/>
          <w:szCs w:val="18"/>
          <w:b w:val="1"/>
          <w:bCs w:val="1"/>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Psychology</w:t>
      </w:r>
    </w:p>
    <w:p>
      <w:pPr>
        <w:spacing w:after="0" w:line="113" w:lineRule="exact"/>
        <w:rPr>
          <w:rFonts w:ascii="Wingdings" w:cs="Wingdings" w:eastAsia="Wingdings" w:hAnsi="Wingdings"/>
          <w:sz w:val="18"/>
          <w:szCs w:val="18"/>
          <w:b w:val="1"/>
          <w:bCs w:val="1"/>
          <w:color w:val="auto"/>
        </w:rPr>
      </w:pPr>
    </w:p>
    <w:p>
      <w:pPr>
        <w:ind w:left="720" w:hanging="360"/>
        <w:spacing w:after="0"/>
        <w:tabs>
          <w:tab w:leader="none" w:pos="720" w:val="left"/>
        </w:tabs>
        <w:numPr>
          <w:ilvl w:val="0"/>
          <w:numId w:val="7"/>
        </w:numPr>
        <w:rPr>
          <w:rFonts w:ascii="Wingdings" w:cs="Wingdings" w:eastAsia="Wingdings" w:hAnsi="Wingdings"/>
          <w:sz w:val="18"/>
          <w:szCs w:val="18"/>
          <w:b w:val="1"/>
          <w:bCs w:val="1"/>
          <w:color w:val="auto"/>
        </w:rPr>
      </w:pPr>
      <w:r>
        <w:rPr>
          <w:rFonts w:ascii="Calibri" w:cs="Calibri" w:eastAsia="Calibri" w:hAnsi="Calibri"/>
          <w:sz w:val="18"/>
          <w:szCs w:val="18"/>
          <w:color w:val="auto"/>
        </w:rPr>
        <w:t>Architecture</w:t>
      </w:r>
    </w:p>
    <w:p>
      <w:pPr>
        <w:spacing w:after="0" w:line="200" w:lineRule="exact"/>
        <w:rPr>
          <w:sz w:val="20"/>
          <w:szCs w:val="20"/>
          <w:color w:val="auto"/>
        </w:rPr>
      </w:pPr>
    </w:p>
    <w:p>
      <w:pPr>
        <w:spacing w:after="0" w:line="253" w:lineRule="exact"/>
        <w:rPr>
          <w:sz w:val="20"/>
          <w:szCs w:val="20"/>
          <w:color w:val="auto"/>
        </w:rPr>
      </w:pPr>
    </w:p>
    <w:p>
      <w:pPr>
        <w:ind w:left="780" w:right="20" w:hanging="360"/>
        <w:spacing w:after="0" w:line="327" w:lineRule="exact"/>
        <w:tabs>
          <w:tab w:leader="none" w:pos="780" w:val="left"/>
        </w:tabs>
        <w:numPr>
          <w:ilvl w:val="0"/>
          <w:numId w:val="8"/>
        </w:numPr>
        <w:rPr>
          <w:rFonts w:ascii="Wingdings" w:cs="Wingdings" w:eastAsia="Wingdings" w:hAnsi="Wingdings"/>
          <w:sz w:val="21"/>
          <w:szCs w:val="21"/>
          <w:b w:val="1"/>
          <w:bCs w:val="1"/>
          <w:color w:val="auto"/>
        </w:rPr>
      </w:pPr>
      <w:r>
        <w:rPr>
          <w:rFonts w:ascii="Arial Narrow" w:cs="Arial Narrow" w:eastAsia="Arial Narrow" w:hAnsi="Arial Narrow"/>
          <w:sz w:val="21"/>
          <w:szCs w:val="21"/>
          <w:color w:val="auto"/>
        </w:rPr>
        <w:t xml:space="preserve">Extension </w:t>
      </w:r>
      <w:r>
        <w:rPr>
          <w:rFonts w:ascii="宋体" w:cs="宋体" w:eastAsia="宋体" w:hAnsi="宋体"/>
          <w:sz w:val="21"/>
          <w:szCs w:val="21"/>
          <w:color w:val="auto"/>
        </w:rPr>
        <w:t>课程全部开放，同学们可以在</w:t>
      </w:r>
      <w:r>
        <w:rPr>
          <w:rFonts w:ascii="Arial Narrow" w:cs="Arial Narrow" w:eastAsia="Arial Narrow" w:hAnsi="Arial Narrow"/>
          <w:sz w:val="21"/>
          <w:szCs w:val="21"/>
          <w:color w:val="auto"/>
        </w:rPr>
        <w:t xml:space="preserve"> extension </w:t>
      </w:r>
      <w:r>
        <w:rPr>
          <w:rFonts w:ascii="宋体" w:cs="宋体" w:eastAsia="宋体" w:hAnsi="宋体"/>
          <w:sz w:val="21"/>
          <w:szCs w:val="21"/>
          <w:color w:val="auto"/>
        </w:rPr>
        <w:t>选择相关课程，但是需要注意和国内大学确认</w:t>
      </w:r>
      <w:r>
        <w:rPr>
          <w:rFonts w:ascii="Arial Narrow" w:cs="Arial Narrow" w:eastAsia="Arial Narrow" w:hAnsi="Arial Narrow"/>
          <w:sz w:val="21"/>
          <w:szCs w:val="21"/>
          <w:color w:val="auto"/>
        </w:rPr>
        <w:t xml:space="preserve"> extension </w:t>
      </w:r>
      <w:r>
        <w:rPr>
          <w:rFonts w:ascii="宋体" w:cs="宋体" w:eastAsia="宋体" w:hAnsi="宋体"/>
          <w:sz w:val="21"/>
          <w:szCs w:val="21"/>
          <w:color w:val="auto"/>
        </w:rPr>
        <w:t>部分课程是否能转换学分。</w:t>
      </w:r>
    </w:p>
    <w:p>
      <w:pPr>
        <w:spacing w:after="0" w:line="65" w:lineRule="exact"/>
        <w:rPr>
          <w:rFonts w:ascii="Wingdings" w:cs="Wingdings" w:eastAsia="Wingdings" w:hAnsi="Wingdings"/>
          <w:sz w:val="21"/>
          <w:szCs w:val="21"/>
          <w:b w:val="1"/>
          <w:bCs w:val="1"/>
          <w:color w:val="auto"/>
        </w:rPr>
      </w:pPr>
    </w:p>
    <w:p>
      <w:pPr>
        <w:ind w:left="780"/>
        <w:spacing w:after="0" w:line="255" w:lineRule="exact"/>
        <w:rPr>
          <w:rFonts w:ascii="Wingdings" w:cs="Wingdings" w:eastAsia="Wingdings" w:hAnsi="Wingdings"/>
          <w:sz w:val="21"/>
          <w:szCs w:val="21"/>
          <w:b w:val="1"/>
          <w:bCs w:val="1"/>
          <w:color w:val="auto"/>
        </w:rPr>
      </w:pPr>
      <w:r>
        <w:rPr>
          <w:rFonts w:ascii="Arial Narrow" w:cs="Arial Narrow" w:eastAsia="Arial Narrow" w:hAnsi="Arial Narrow"/>
          <w:sz w:val="21"/>
          <w:szCs w:val="21"/>
          <w:color w:val="auto"/>
        </w:rPr>
        <w:t xml:space="preserve">Extension </w:t>
      </w:r>
      <w:r>
        <w:rPr>
          <w:rFonts w:ascii="宋体" w:cs="宋体" w:eastAsia="宋体" w:hAnsi="宋体"/>
          <w:sz w:val="21"/>
          <w:szCs w:val="21"/>
          <w:color w:val="auto"/>
        </w:rPr>
        <w:t>部门提供了一些和</w:t>
      </w:r>
      <w:r>
        <w:rPr>
          <w:rFonts w:ascii="Arial Narrow" w:cs="Arial Narrow" w:eastAsia="Arial Narrow" w:hAnsi="Arial Narrow"/>
          <w:sz w:val="21"/>
          <w:szCs w:val="21"/>
          <w:color w:val="auto"/>
        </w:rPr>
        <w:t xml:space="preserve"> regular </w:t>
      </w:r>
      <w:r>
        <w:rPr>
          <w:rFonts w:ascii="宋体" w:cs="宋体" w:eastAsia="宋体" w:hAnsi="宋体"/>
          <w:sz w:val="21"/>
          <w:szCs w:val="21"/>
          <w:color w:val="auto"/>
        </w:rPr>
        <w:t>课程很相近的课程供同学选择，详见下方信息：</w:t>
      </w:r>
    </w:p>
    <w:p>
      <w:pPr>
        <w:spacing w:after="0" w:line="121" w:lineRule="exact"/>
        <w:rPr>
          <w:rFonts w:ascii="Wingdings" w:cs="Wingdings" w:eastAsia="Wingdings" w:hAnsi="Wingdings"/>
          <w:sz w:val="21"/>
          <w:szCs w:val="21"/>
          <w:b w:val="1"/>
          <w:bCs w:val="1"/>
          <w:color w:val="auto"/>
        </w:rPr>
      </w:pPr>
    </w:p>
    <w:p>
      <w:pPr>
        <w:ind w:left="780" w:hanging="360"/>
        <w:spacing w:after="0"/>
        <w:tabs>
          <w:tab w:leader="none" w:pos="780" w:val="left"/>
        </w:tabs>
        <w:numPr>
          <w:ilvl w:val="0"/>
          <w:numId w:val="8"/>
        </w:numPr>
        <w:rPr>
          <w:rFonts w:ascii="Wingdings" w:cs="Wingdings" w:eastAsia="Wingdings" w:hAnsi="Wingdings"/>
          <w:sz w:val="18"/>
          <w:szCs w:val="18"/>
          <w:b w:val="1"/>
          <w:bCs w:val="1"/>
          <w:color w:val="auto"/>
        </w:rPr>
      </w:pPr>
      <w:r>
        <w:rPr>
          <w:rFonts w:ascii="Calibri" w:cs="Calibri" w:eastAsia="Calibri" w:hAnsi="Calibri"/>
          <w:sz w:val="18"/>
          <w:szCs w:val="18"/>
          <w:b w:val="1"/>
          <w:bCs w:val="1"/>
          <w:u w:val="single" w:color="auto"/>
          <w:color w:val="auto"/>
        </w:rPr>
        <w:t>XL 1 to XL 199</w:t>
      </w:r>
      <w:r>
        <w:rPr>
          <w:rFonts w:ascii="Calibri" w:cs="Calibri" w:eastAsia="Calibri" w:hAnsi="Calibri"/>
          <w:sz w:val="18"/>
          <w:szCs w:val="18"/>
          <w:color w:val="auto"/>
        </w:rPr>
        <w:t>: These courses are equivalent to undergraduate courses offered by the UCLA regular session</w:t>
      </w:r>
    </w:p>
    <w:p>
      <w:pPr>
        <w:spacing w:after="0" w:line="123" w:lineRule="exact"/>
        <w:rPr>
          <w:sz w:val="20"/>
          <w:szCs w:val="20"/>
          <w:color w:val="auto"/>
        </w:rPr>
      </w:pPr>
    </w:p>
    <w:p>
      <w:pPr>
        <w:ind w:left="780"/>
        <w:spacing w:after="0"/>
        <w:rPr>
          <w:sz w:val="20"/>
          <w:szCs w:val="20"/>
          <w:color w:val="auto"/>
        </w:rPr>
      </w:pPr>
      <w:r>
        <w:rPr>
          <w:rFonts w:ascii="Calibri" w:cs="Calibri" w:eastAsia="Calibri" w:hAnsi="Calibri"/>
          <w:sz w:val="18"/>
          <w:szCs w:val="18"/>
          <w:b w:val="1"/>
          <w:bCs w:val="1"/>
          <w:u w:val="single" w:color="auto"/>
          <w:color w:val="auto"/>
        </w:rPr>
        <w:t>X 1 to X 199</w:t>
      </w:r>
      <w:r>
        <w:rPr>
          <w:rFonts w:ascii="Calibri" w:cs="Calibri" w:eastAsia="Calibri" w:hAnsi="Calibri"/>
          <w:sz w:val="18"/>
          <w:szCs w:val="18"/>
          <w:color w:val="auto"/>
        </w:rPr>
        <w:t>: These courses are structured in accordance with requirements for UCLA undergraduate courses, but include</w:t>
      </w:r>
    </w:p>
    <w:p>
      <w:pPr>
        <w:spacing w:after="0" w:line="343" w:lineRule="exact"/>
        <w:rPr>
          <w:sz w:val="20"/>
          <w:szCs w:val="20"/>
          <w:color w:val="auto"/>
        </w:rPr>
      </w:pPr>
    </w:p>
    <w:p>
      <w:pPr>
        <w:jc w:val="center"/>
        <w:ind w:right="20"/>
        <w:spacing w:after="0"/>
        <w:rPr>
          <w:sz w:val="20"/>
          <w:szCs w:val="20"/>
          <w:color w:val="auto"/>
        </w:rPr>
      </w:pPr>
      <w:r>
        <w:rPr>
          <w:rFonts w:ascii="Arial Narrow" w:cs="Arial Narrow" w:eastAsia="Arial Narrow" w:hAnsi="Arial Narrow"/>
          <w:sz w:val="18"/>
          <w:szCs w:val="18"/>
          <w:color w:val="auto"/>
        </w:rPr>
        <w:t>2</w:t>
      </w:r>
    </w:p>
    <w:p>
      <w:pPr>
        <w:sectPr>
          <w:pgSz w:w="11900" w:h="16838" w:orient="portrait"/>
          <w:cols w:equalWidth="0" w:num="1">
            <w:col w:w="9760"/>
          </w:cols>
          <w:pgMar w:left="1080" w:top="1440" w:right="1066" w:bottom="675"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780"/>
        <w:spacing w:after="0"/>
        <w:rPr>
          <w:sz w:val="20"/>
          <w:szCs w:val="20"/>
          <w:color w:val="auto"/>
        </w:rPr>
      </w:pPr>
      <w:r>
        <w:rPr>
          <w:rFonts w:ascii="Calibri" w:cs="Calibri" w:eastAsia="Calibri" w:hAnsi="Calibri"/>
          <w:sz w:val="18"/>
          <w:szCs w:val="18"/>
          <w:color w:val="auto"/>
        </w:rPr>
        <w:t>subject matter not part of the regular undergraduate curriculum</w:t>
      </w:r>
    </w:p>
    <w:p>
      <w:pPr>
        <w:spacing w:after="0" w:line="200" w:lineRule="exact"/>
        <w:rPr>
          <w:sz w:val="20"/>
          <w:szCs w:val="20"/>
          <w:color w:val="auto"/>
        </w:rPr>
      </w:pPr>
    </w:p>
    <w:p>
      <w:pPr>
        <w:spacing w:after="0" w:line="271" w:lineRule="exact"/>
        <w:rPr>
          <w:sz w:val="20"/>
          <w:szCs w:val="20"/>
          <w:color w:val="auto"/>
        </w:rPr>
      </w:pPr>
    </w:p>
    <w:p>
      <w:pPr>
        <w:ind w:left="780" w:hanging="360"/>
        <w:spacing w:after="0" w:line="255" w:lineRule="exact"/>
        <w:tabs>
          <w:tab w:leader="none" w:pos="780" w:val="left"/>
        </w:tabs>
        <w:numPr>
          <w:ilvl w:val="1"/>
          <w:numId w:val="9"/>
        </w:numPr>
        <w:rPr>
          <w:rFonts w:ascii="Wingdings" w:cs="Wingdings" w:eastAsia="Wingdings" w:hAnsi="Wingdings"/>
          <w:sz w:val="21"/>
          <w:szCs w:val="21"/>
          <w:b w:val="1"/>
          <w:bCs w:val="1"/>
          <w:color w:val="auto"/>
        </w:rPr>
      </w:pPr>
      <w:r>
        <w:rPr>
          <w:rFonts w:ascii="宋体" w:cs="宋体" w:eastAsia="宋体" w:hAnsi="宋体"/>
          <w:sz w:val="21"/>
          <w:szCs w:val="21"/>
          <w:color w:val="auto"/>
        </w:rPr>
        <w:t>研究生课程不开放</w:t>
      </w:r>
    </w:p>
    <w:p>
      <w:pPr>
        <w:spacing w:after="0" w:line="105" w:lineRule="exact"/>
        <w:rPr>
          <w:rFonts w:ascii="Wingdings" w:cs="Wingdings" w:eastAsia="Wingdings" w:hAnsi="Wingdings"/>
          <w:sz w:val="21"/>
          <w:szCs w:val="21"/>
          <w:b w:val="1"/>
          <w:bCs w:val="1"/>
          <w:color w:val="auto"/>
        </w:rPr>
      </w:pPr>
    </w:p>
    <w:p>
      <w:pPr>
        <w:ind w:left="360" w:hanging="360"/>
        <w:spacing w:after="0" w:line="255" w:lineRule="exact"/>
        <w:tabs>
          <w:tab w:leader="none" w:pos="360" w:val="left"/>
        </w:tabs>
        <w:numPr>
          <w:ilvl w:val="0"/>
          <w:numId w:val="9"/>
        </w:numPr>
        <w:rPr>
          <w:rFonts w:ascii="Arial Narrow" w:cs="Arial Narrow" w:eastAsia="Arial Narrow" w:hAnsi="Arial Narrow"/>
          <w:sz w:val="21"/>
          <w:szCs w:val="21"/>
          <w:color w:val="auto"/>
        </w:rPr>
      </w:pPr>
      <w:r>
        <w:rPr>
          <w:rFonts w:ascii="宋体" w:cs="宋体" w:eastAsia="宋体" w:hAnsi="宋体"/>
          <w:sz w:val="21"/>
          <w:szCs w:val="21"/>
          <w:color w:val="auto"/>
        </w:rPr>
        <w:t>课程链接：</w:t>
      </w:r>
    </w:p>
    <w:p>
      <w:pPr>
        <w:spacing w:after="0" w:line="100" w:lineRule="exact"/>
        <w:rPr>
          <w:sz w:val="20"/>
          <w:szCs w:val="20"/>
          <w:color w:val="auto"/>
        </w:rPr>
      </w:pPr>
    </w:p>
    <w:p>
      <w:pPr>
        <w:ind w:left="420"/>
        <w:spacing w:after="0" w:line="255" w:lineRule="exact"/>
        <w:rPr>
          <w:rFonts w:ascii="Arial Narrow" w:cs="Arial Narrow" w:eastAsia="Arial Narrow" w:hAnsi="Arial Narrow"/>
          <w:sz w:val="21"/>
          <w:szCs w:val="21"/>
          <w:color w:val="auto"/>
        </w:rPr>
      </w:pPr>
      <w:r>
        <w:rPr>
          <w:rFonts w:ascii="宋体" w:cs="宋体" w:eastAsia="宋体" w:hAnsi="宋体"/>
          <w:sz w:val="21"/>
          <w:szCs w:val="21"/>
          <w:color w:val="auto"/>
        </w:rPr>
        <w:t>本科部</w:t>
      </w:r>
      <w:r>
        <w:rPr>
          <w:rFonts w:ascii="Arial Narrow" w:cs="Arial Narrow" w:eastAsia="Arial Narrow" w:hAnsi="Arial Narrow"/>
          <w:sz w:val="21"/>
          <w:szCs w:val="21"/>
          <w:color w:val="auto"/>
        </w:rPr>
        <w:t xml:space="preserve"> regular </w:t>
      </w:r>
      <w:r>
        <w:rPr>
          <w:rFonts w:ascii="宋体" w:cs="宋体" w:eastAsia="宋体" w:hAnsi="宋体"/>
          <w:sz w:val="21"/>
          <w:szCs w:val="21"/>
          <w:color w:val="auto"/>
        </w:rPr>
        <w:t>课程：</w:t>
      </w:r>
      <w:hyperlink r:id="rId11">
        <w:r>
          <w:rPr>
            <w:rFonts w:ascii="Arial Narrow" w:cs="Arial Narrow" w:eastAsia="Arial Narrow" w:hAnsi="Arial Narrow"/>
            <w:sz w:val="21"/>
            <w:szCs w:val="21"/>
            <w:u w:val="single" w:color="auto"/>
            <w:color w:val="0000FF"/>
          </w:rPr>
          <w:t>https://sa.ucla.edu/ro/public/soc</w:t>
        </w:r>
      </w:hyperlink>
    </w:p>
    <w:p>
      <w:pPr>
        <w:spacing w:after="0" w:line="106" w:lineRule="exact"/>
        <w:rPr>
          <w:sz w:val="20"/>
          <w:szCs w:val="20"/>
          <w:color w:val="auto"/>
        </w:rPr>
      </w:pPr>
    </w:p>
    <w:p>
      <w:pPr>
        <w:ind w:left="420"/>
        <w:spacing w:after="0" w:line="255" w:lineRule="exact"/>
        <w:rPr>
          <w:rFonts w:ascii="Arial Narrow" w:cs="Arial Narrow" w:eastAsia="Arial Narrow" w:hAnsi="Arial Narrow"/>
          <w:sz w:val="21"/>
          <w:szCs w:val="21"/>
          <w:color w:val="auto"/>
        </w:rPr>
      </w:pPr>
      <w:r>
        <w:rPr>
          <w:rFonts w:ascii="宋体" w:cs="宋体" w:eastAsia="宋体" w:hAnsi="宋体"/>
          <w:sz w:val="21"/>
          <w:szCs w:val="21"/>
          <w:color w:val="auto"/>
        </w:rPr>
        <w:t>国际部</w:t>
      </w:r>
      <w:r>
        <w:rPr>
          <w:rFonts w:ascii="Arial Narrow" w:cs="Arial Narrow" w:eastAsia="Arial Narrow" w:hAnsi="Arial Narrow"/>
          <w:sz w:val="21"/>
          <w:szCs w:val="21"/>
          <w:color w:val="auto"/>
        </w:rPr>
        <w:t xml:space="preserve"> extension </w:t>
      </w:r>
      <w:r>
        <w:rPr>
          <w:rFonts w:ascii="宋体" w:cs="宋体" w:eastAsia="宋体" w:hAnsi="宋体"/>
          <w:sz w:val="21"/>
          <w:szCs w:val="21"/>
          <w:color w:val="auto"/>
        </w:rPr>
        <w:t>课程：</w:t>
      </w:r>
      <w:hyperlink r:id="rId12">
        <w:r>
          <w:rPr>
            <w:rFonts w:ascii="Arial Narrow" w:cs="Arial Narrow" w:eastAsia="Arial Narrow" w:hAnsi="Arial Narrow"/>
            <w:sz w:val="21"/>
            <w:szCs w:val="21"/>
            <w:u w:val="single" w:color="auto"/>
            <w:color w:val="0000FF"/>
          </w:rPr>
          <w:t>https://www.uclaextension.edu/</w:t>
        </w:r>
      </w:hyperlink>
    </w:p>
    <w:p>
      <w:pPr>
        <w:spacing w:after="0" w:line="200" w:lineRule="exact"/>
        <w:rPr>
          <w:sz w:val="20"/>
          <w:szCs w:val="20"/>
          <w:color w:val="auto"/>
        </w:rPr>
      </w:pPr>
    </w:p>
    <w:p>
      <w:pPr>
        <w:spacing w:after="0" w:line="259"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b w:val="1"/>
          <w:bCs w:val="1"/>
          <w:color w:val="auto"/>
        </w:rPr>
        <w:t>商科项目</w:t>
      </w:r>
      <w:r>
        <w:rPr>
          <w:rFonts w:ascii="Arial Narrow" w:cs="Arial Narrow" w:eastAsia="Arial Narrow" w:hAnsi="Arial Narrow"/>
          <w:sz w:val="21"/>
          <w:szCs w:val="21"/>
          <w:b w:val="1"/>
          <w:bCs w:val="1"/>
          <w:color w:val="auto"/>
        </w:rPr>
        <w:t>:</w:t>
      </w:r>
    </w:p>
    <w:p>
      <w:pPr>
        <w:spacing w:after="0" w:line="125" w:lineRule="exact"/>
        <w:rPr>
          <w:sz w:val="20"/>
          <w:szCs w:val="20"/>
          <w:color w:val="auto"/>
        </w:rPr>
      </w:pPr>
    </w:p>
    <w:p>
      <w:pPr>
        <w:ind w:left="420" w:hanging="420"/>
        <w:spacing w:after="0" w:line="318" w:lineRule="exact"/>
        <w:tabs>
          <w:tab w:leader="none" w:pos="420" w:val="left"/>
        </w:tabs>
        <w:numPr>
          <w:ilvl w:val="0"/>
          <w:numId w:val="10"/>
        </w:numPr>
        <w:rPr>
          <w:rFonts w:ascii="宋体" w:cs="宋体" w:eastAsia="宋体" w:hAnsi="宋体"/>
          <w:sz w:val="24"/>
          <w:szCs w:val="24"/>
          <w:color w:val="auto"/>
        </w:rPr>
      </w:pPr>
      <w:r>
        <w:rPr>
          <w:rFonts w:ascii="宋体" w:cs="宋体" w:eastAsia="宋体" w:hAnsi="宋体"/>
          <w:sz w:val="21"/>
          <w:szCs w:val="21"/>
          <w:color w:val="auto"/>
        </w:rPr>
        <w:t>学分要求：一学期修满</w:t>
      </w:r>
      <w:r>
        <w:rPr>
          <w:rFonts w:ascii="Arial Narrow" w:cs="Arial Narrow" w:eastAsia="Arial Narrow" w:hAnsi="Arial Narrow"/>
          <w:sz w:val="21"/>
          <w:szCs w:val="21"/>
          <w:color w:val="auto"/>
        </w:rPr>
        <w:t xml:space="preserve"> 12 </w:t>
      </w:r>
      <w:r>
        <w:rPr>
          <w:rFonts w:ascii="宋体" w:cs="宋体" w:eastAsia="宋体" w:hAnsi="宋体"/>
          <w:sz w:val="21"/>
          <w:szCs w:val="21"/>
          <w:color w:val="auto"/>
        </w:rPr>
        <w:t>学分，以满足</w:t>
      </w:r>
      <w:r>
        <w:rPr>
          <w:rFonts w:ascii="Arial Narrow" w:cs="Arial Narrow" w:eastAsia="Arial Narrow" w:hAnsi="Arial Narrow"/>
          <w:sz w:val="21"/>
          <w:szCs w:val="21"/>
          <w:color w:val="auto"/>
        </w:rPr>
        <w:t xml:space="preserve"> F1 </w:t>
      </w:r>
      <w:r>
        <w:rPr>
          <w:rFonts w:ascii="宋体" w:cs="宋体" w:eastAsia="宋体" w:hAnsi="宋体"/>
          <w:sz w:val="21"/>
          <w:szCs w:val="21"/>
          <w:color w:val="auto"/>
        </w:rPr>
        <w:t>学生的最低学分要求，需要从既定的两个课程方向</w:t>
      </w:r>
      <w:r>
        <w:rPr>
          <w:rFonts w:ascii="Arial Narrow" w:cs="Arial Narrow" w:eastAsia="Arial Narrow" w:hAnsi="Arial Narrow"/>
          <w:sz w:val="21"/>
          <w:szCs w:val="21"/>
          <w:color w:val="auto"/>
        </w:rPr>
        <w:t xml:space="preserve">”entrepreneurial success” </w:t>
      </w:r>
      <w:r>
        <w:rPr>
          <w:rFonts w:ascii="宋体" w:cs="宋体" w:eastAsia="宋体" w:hAnsi="宋体"/>
          <w:sz w:val="21"/>
          <w:szCs w:val="21"/>
          <w:color w:val="auto"/>
        </w:rPr>
        <w:t>和</w:t>
      </w:r>
      <w:r>
        <w:rPr>
          <w:rFonts w:ascii="Arial Narrow" w:cs="Arial Narrow" w:eastAsia="Arial Narrow" w:hAnsi="Arial Narrow"/>
          <w:sz w:val="21"/>
          <w:szCs w:val="21"/>
          <w:color w:val="auto"/>
        </w:rPr>
        <w:t xml:space="preserve"> “Business Analysis”</w:t>
      </w:r>
      <w:r>
        <w:rPr>
          <w:rFonts w:ascii="宋体" w:cs="宋体" w:eastAsia="宋体" w:hAnsi="宋体"/>
          <w:sz w:val="21"/>
          <w:szCs w:val="21"/>
          <w:color w:val="auto"/>
        </w:rPr>
        <w:t>中，选择一个方向，每个方向包含</w:t>
      </w:r>
      <w:r>
        <w:rPr>
          <w:rFonts w:ascii="Arial Narrow" w:cs="Arial Narrow" w:eastAsia="Arial Narrow" w:hAnsi="Arial Narrow"/>
          <w:sz w:val="21"/>
          <w:szCs w:val="21"/>
          <w:color w:val="auto"/>
        </w:rPr>
        <w:t xml:space="preserve"> 3 </w:t>
      </w:r>
      <w:r>
        <w:rPr>
          <w:rFonts w:ascii="宋体" w:cs="宋体" w:eastAsia="宋体" w:hAnsi="宋体"/>
          <w:sz w:val="21"/>
          <w:szCs w:val="21"/>
          <w:color w:val="auto"/>
        </w:rPr>
        <w:t>门课和</w:t>
      </w:r>
      <w:r>
        <w:rPr>
          <w:rFonts w:ascii="Arial Narrow" w:cs="Arial Narrow" w:eastAsia="Arial Narrow" w:hAnsi="Arial Narrow"/>
          <w:sz w:val="21"/>
          <w:szCs w:val="21"/>
          <w:color w:val="auto"/>
        </w:rPr>
        <w:t xml:space="preserve"> workshop:</w:t>
      </w:r>
    </w:p>
    <w:p>
      <w:pPr>
        <w:spacing w:after="0" w:line="200" w:lineRule="exact"/>
        <w:rPr>
          <w:rFonts w:ascii="宋体" w:cs="宋体" w:eastAsia="宋体" w:hAnsi="宋体"/>
          <w:sz w:val="24"/>
          <w:szCs w:val="24"/>
          <w:color w:val="auto"/>
        </w:rPr>
      </w:pPr>
    </w:p>
    <w:p>
      <w:pPr>
        <w:spacing w:after="0" w:line="215" w:lineRule="exact"/>
        <w:rPr>
          <w:rFonts w:ascii="宋体" w:cs="宋体" w:eastAsia="宋体" w:hAnsi="宋体"/>
          <w:sz w:val="24"/>
          <w:szCs w:val="24"/>
          <w:color w:val="auto"/>
        </w:rPr>
      </w:pPr>
    </w:p>
    <w:p>
      <w:pPr>
        <w:ind w:left="420"/>
        <w:spacing w:after="0"/>
        <w:rPr>
          <w:rFonts w:ascii="宋体" w:cs="宋体" w:eastAsia="宋体" w:hAnsi="宋体"/>
          <w:sz w:val="24"/>
          <w:szCs w:val="24"/>
          <w:color w:val="auto"/>
        </w:rPr>
      </w:pPr>
      <w:r>
        <w:rPr>
          <w:rFonts w:ascii="Arial Narrow" w:cs="Arial Narrow" w:eastAsia="Arial Narrow" w:hAnsi="Arial Narrow"/>
          <w:sz w:val="22"/>
          <w:szCs w:val="22"/>
          <w:b w:val="1"/>
          <w:bCs w:val="1"/>
          <w:color w:val="auto"/>
        </w:rPr>
        <w:t>Track 1    Entrepreneurial Success:</w:t>
      </w:r>
    </w:p>
    <w:p>
      <w:pPr>
        <w:spacing w:after="0" w:line="71" w:lineRule="exact"/>
        <w:rPr>
          <w:rFonts w:ascii="宋体" w:cs="宋体" w:eastAsia="宋体" w:hAnsi="宋体"/>
          <w:sz w:val="24"/>
          <w:szCs w:val="24"/>
          <w:color w:val="auto"/>
        </w:rPr>
      </w:pPr>
    </w:p>
    <w:p>
      <w:pPr>
        <w:ind w:left="720" w:hanging="360"/>
        <w:spacing w:after="0" w:line="269" w:lineRule="exact"/>
        <w:tabs>
          <w:tab w:leader="none" w:pos="720" w:val="left"/>
        </w:tabs>
        <w:numPr>
          <w:ilvl w:val="1"/>
          <w:numId w:val="10"/>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Marketing Principles and Practice- </w:t>
      </w:r>
      <w:r>
        <w:rPr>
          <w:rFonts w:ascii="等线" w:cs="等线" w:eastAsia="等线" w:hAnsi="等线"/>
          <w:sz w:val="22"/>
          <w:szCs w:val="22"/>
          <w:color w:val="auto"/>
        </w:rPr>
        <w:t>营销原则与实践（</w:t>
      </w:r>
      <w:r>
        <w:rPr>
          <w:rFonts w:ascii="Arial Narrow" w:cs="Arial Narrow" w:eastAsia="Arial Narrow" w:hAnsi="Arial Narrow"/>
          <w:sz w:val="22"/>
          <w:szCs w:val="22"/>
          <w:color w:val="auto"/>
        </w:rPr>
        <w:t>MGMT X 160</w:t>
      </w:r>
      <w:r>
        <w:rPr>
          <w:rFonts w:ascii="等线" w:cs="等线" w:eastAsia="等线" w:hAnsi="等线"/>
          <w:sz w:val="22"/>
          <w:szCs w:val="22"/>
          <w:color w:val="auto"/>
        </w:rPr>
        <w:t>）</w:t>
      </w:r>
    </w:p>
    <w:p>
      <w:pPr>
        <w:spacing w:after="0" w:line="43" w:lineRule="exact"/>
        <w:rPr>
          <w:rFonts w:ascii="Calibri" w:cs="Calibri" w:eastAsia="Calibri" w:hAnsi="Calibri"/>
          <w:sz w:val="22"/>
          <w:szCs w:val="22"/>
          <w:color w:val="auto"/>
        </w:rPr>
      </w:pPr>
    </w:p>
    <w:p>
      <w:pPr>
        <w:ind w:left="720" w:hanging="360"/>
        <w:spacing w:after="0" w:line="269" w:lineRule="exact"/>
        <w:tabs>
          <w:tab w:leader="none" w:pos="720" w:val="left"/>
        </w:tabs>
        <w:numPr>
          <w:ilvl w:val="1"/>
          <w:numId w:val="10"/>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Management Theory, Policy and Process- </w:t>
      </w:r>
      <w:r>
        <w:rPr>
          <w:rFonts w:ascii="等线" w:cs="等线" w:eastAsia="等线" w:hAnsi="等线"/>
          <w:sz w:val="22"/>
          <w:szCs w:val="22"/>
          <w:color w:val="auto"/>
        </w:rPr>
        <w:t>管理理论、政策和流程（</w:t>
      </w:r>
      <w:r>
        <w:rPr>
          <w:rFonts w:ascii="Arial Narrow" w:cs="Arial Narrow" w:eastAsia="Arial Narrow" w:hAnsi="Arial Narrow"/>
          <w:sz w:val="22"/>
          <w:szCs w:val="22"/>
          <w:color w:val="auto"/>
        </w:rPr>
        <w:t>MGMT X190</w:t>
      </w:r>
      <w:r>
        <w:rPr>
          <w:rFonts w:ascii="等线" w:cs="等线" w:eastAsia="等线" w:hAnsi="等线"/>
          <w:sz w:val="22"/>
          <w:szCs w:val="22"/>
          <w:color w:val="auto"/>
        </w:rPr>
        <w:t>）</w:t>
      </w:r>
    </w:p>
    <w:p>
      <w:pPr>
        <w:spacing w:after="0" w:line="43" w:lineRule="exact"/>
        <w:rPr>
          <w:rFonts w:ascii="Calibri" w:cs="Calibri" w:eastAsia="Calibri" w:hAnsi="Calibri"/>
          <w:sz w:val="22"/>
          <w:szCs w:val="22"/>
          <w:color w:val="auto"/>
        </w:rPr>
      </w:pPr>
    </w:p>
    <w:p>
      <w:pPr>
        <w:ind w:left="720" w:hanging="360"/>
        <w:spacing w:after="0" w:line="269" w:lineRule="exact"/>
        <w:tabs>
          <w:tab w:leader="none" w:pos="720" w:val="left"/>
        </w:tabs>
        <w:numPr>
          <w:ilvl w:val="1"/>
          <w:numId w:val="10"/>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Business Communications- </w:t>
      </w:r>
      <w:r>
        <w:rPr>
          <w:rFonts w:ascii="等线" w:cs="等线" w:eastAsia="等线" w:hAnsi="等线"/>
          <w:sz w:val="22"/>
          <w:szCs w:val="22"/>
          <w:color w:val="auto"/>
        </w:rPr>
        <w:t>商务沟通（</w:t>
      </w:r>
      <w:r>
        <w:rPr>
          <w:rFonts w:ascii="Arial Narrow" w:cs="Arial Narrow" w:eastAsia="Arial Narrow" w:hAnsi="Arial Narrow"/>
          <w:sz w:val="22"/>
          <w:szCs w:val="22"/>
          <w:color w:val="auto"/>
        </w:rPr>
        <w:t>MGMT X 109</w:t>
      </w:r>
      <w:r>
        <w:rPr>
          <w:rFonts w:ascii="等线" w:cs="等线" w:eastAsia="等线" w:hAnsi="等线"/>
          <w:sz w:val="22"/>
          <w:szCs w:val="22"/>
          <w:color w:val="auto"/>
        </w:rPr>
        <w:t>）</w:t>
      </w:r>
    </w:p>
    <w:p>
      <w:pPr>
        <w:spacing w:after="0" w:line="73" w:lineRule="exact"/>
        <w:rPr>
          <w:sz w:val="20"/>
          <w:szCs w:val="20"/>
          <w:color w:val="auto"/>
        </w:rPr>
      </w:pPr>
    </w:p>
    <w:p>
      <w:pPr>
        <w:ind w:left="360"/>
        <w:spacing w:after="0"/>
        <w:rPr>
          <w:sz w:val="20"/>
          <w:szCs w:val="20"/>
          <w:color w:val="auto"/>
        </w:rPr>
      </w:pPr>
      <w:r>
        <w:rPr>
          <w:rFonts w:ascii="Calibri" w:cs="Calibri" w:eastAsia="Calibri" w:hAnsi="Calibri"/>
          <w:sz w:val="22"/>
          <w:szCs w:val="22"/>
          <w:color w:val="auto"/>
        </w:rPr>
        <w:t>-</w:t>
      </w:r>
    </w:p>
    <w:p>
      <w:pPr>
        <w:spacing w:after="0" w:line="47" w:lineRule="exact"/>
        <w:rPr>
          <w:sz w:val="20"/>
          <w:szCs w:val="20"/>
          <w:color w:val="auto"/>
        </w:rPr>
      </w:pPr>
    </w:p>
    <w:p>
      <w:pPr>
        <w:ind w:left="440"/>
        <w:spacing w:after="0"/>
        <w:tabs>
          <w:tab w:leader="none" w:pos="1720" w:val="left"/>
        </w:tabs>
        <w:rPr>
          <w:sz w:val="20"/>
          <w:szCs w:val="20"/>
          <w:color w:val="auto"/>
        </w:rPr>
      </w:pPr>
      <w:r>
        <w:rPr>
          <w:rFonts w:ascii="Arial Narrow" w:cs="Arial Narrow" w:eastAsia="Arial Narrow" w:hAnsi="Arial Narrow"/>
          <w:sz w:val="22"/>
          <w:szCs w:val="22"/>
          <w:b w:val="1"/>
          <w:bCs w:val="1"/>
          <w:color w:val="auto"/>
        </w:rPr>
        <w:t>Track 2</w:t>
      </w:r>
      <w:r>
        <w:rPr>
          <w:sz w:val="20"/>
          <w:szCs w:val="20"/>
          <w:color w:val="auto"/>
        </w:rPr>
        <w:tab/>
      </w:r>
      <w:r>
        <w:rPr>
          <w:rFonts w:ascii="Arial Narrow" w:cs="Arial Narrow" w:eastAsia="Arial Narrow" w:hAnsi="Arial Narrow"/>
          <w:sz w:val="21"/>
          <w:szCs w:val="21"/>
          <w:b w:val="1"/>
          <w:bCs w:val="1"/>
          <w:color w:val="auto"/>
        </w:rPr>
        <w:t>Business Analysis:</w:t>
      </w:r>
    </w:p>
    <w:p>
      <w:pPr>
        <w:spacing w:after="0" w:line="74" w:lineRule="exact"/>
        <w:rPr>
          <w:sz w:val="20"/>
          <w:szCs w:val="20"/>
          <w:color w:val="auto"/>
        </w:rPr>
      </w:pPr>
    </w:p>
    <w:p>
      <w:pPr>
        <w:ind w:left="720" w:hanging="360"/>
        <w:spacing w:after="0" w:line="269" w:lineRule="exact"/>
        <w:tabs>
          <w:tab w:leader="none" w:pos="720" w:val="left"/>
        </w:tabs>
        <w:numPr>
          <w:ilvl w:val="0"/>
          <w:numId w:val="11"/>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Principles of Accounting- </w:t>
      </w:r>
      <w:r>
        <w:rPr>
          <w:rFonts w:ascii="等线" w:cs="等线" w:eastAsia="等线" w:hAnsi="等线"/>
          <w:sz w:val="22"/>
          <w:szCs w:val="22"/>
          <w:color w:val="auto"/>
        </w:rPr>
        <w:t>会计原则（</w:t>
      </w:r>
      <w:r>
        <w:rPr>
          <w:rFonts w:ascii="Arial Narrow" w:cs="Arial Narrow" w:eastAsia="Arial Narrow" w:hAnsi="Arial Narrow"/>
          <w:sz w:val="22"/>
          <w:szCs w:val="22"/>
          <w:color w:val="auto"/>
        </w:rPr>
        <w:t>MGMT X 1A</w:t>
      </w:r>
      <w:r>
        <w:rPr>
          <w:rFonts w:ascii="等线" w:cs="等线" w:eastAsia="等线" w:hAnsi="等线"/>
          <w:sz w:val="22"/>
          <w:szCs w:val="22"/>
          <w:color w:val="auto"/>
        </w:rPr>
        <w:t>）</w:t>
      </w:r>
    </w:p>
    <w:p>
      <w:pPr>
        <w:spacing w:after="0" w:line="43" w:lineRule="exact"/>
        <w:rPr>
          <w:rFonts w:ascii="Calibri" w:cs="Calibri" w:eastAsia="Calibri" w:hAnsi="Calibri"/>
          <w:sz w:val="22"/>
          <w:szCs w:val="22"/>
          <w:color w:val="auto"/>
        </w:rPr>
      </w:pPr>
    </w:p>
    <w:p>
      <w:pPr>
        <w:ind w:left="720" w:hanging="361"/>
        <w:spacing w:after="0" w:line="269" w:lineRule="exact"/>
        <w:tabs>
          <w:tab w:leader="none" w:pos="720" w:val="left"/>
        </w:tabs>
        <w:numPr>
          <w:ilvl w:val="0"/>
          <w:numId w:val="11"/>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Business Economics- </w:t>
      </w:r>
      <w:r>
        <w:rPr>
          <w:rFonts w:ascii="等线" w:cs="等线" w:eastAsia="等线" w:hAnsi="等线"/>
          <w:sz w:val="22"/>
          <w:szCs w:val="22"/>
          <w:color w:val="auto"/>
        </w:rPr>
        <w:t>商业经济学（</w:t>
      </w:r>
      <w:r>
        <w:rPr>
          <w:rFonts w:ascii="Arial Narrow" w:cs="Arial Narrow" w:eastAsia="Arial Narrow" w:hAnsi="Arial Narrow"/>
          <w:sz w:val="22"/>
          <w:szCs w:val="22"/>
          <w:color w:val="auto"/>
        </w:rPr>
        <w:t>MGMT X 100</w:t>
      </w:r>
      <w:r>
        <w:rPr>
          <w:rFonts w:ascii="等线" w:cs="等线" w:eastAsia="等线" w:hAnsi="等线"/>
          <w:sz w:val="22"/>
          <w:szCs w:val="22"/>
          <w:color w:val="auto"/>
        </w:rPr>
        <w:t>）</w:t>
      </w:r>
    </w:p>
    <w:p>
      <w:pPr>
        <w:spacing w:after="0" w:line="43" w:lineRule="exact"/>
        <w:rPr>
          <w:rFonts w:ascii="Calibri" w:cs="Calibri" w:eastAsia="Calibri" w:hAnsi="Calibri"/>
          <w:sz w:val="22"/>
          <w:szCs w:val="22"/>
          <w:color w:val="auto"/>
        </w:rPr>
      </w:pPr>
    </w:p>
    <w:p>
      <w:pPr>
        <w:ind w:left="720" w:hanging="361"/>
        <w:spacing w:after="0" w:line="269" w:lineRule="exact"/>
        <w:tabs>
          <w:tab w:leader="none" w:pos="720" w:val="left"/>
        </w:tabs>
        <w:numPr>
          <w:ilvl w:val="0"/>
          <w:numId w:val="11"/>
        </w:numPr>
        <w:rPr>
          <w:rFonts w:ascii="Calibri" w:cs="Calibri" w:eastAsia="Calibri" w:hAnsi="Calibri"/>
          <w:sz w:val="22"/>
          <w:szCs w:val="22"/>
          <w:color w:val="auto"/>
        </w:rPr>
      </w:pPr>
      <w:r>
        <w:rPr>
          <w:rFonts w:ascii="Arial Narrow" w:cs="Arial Narrow" w:eastAsia="Arial Narrow" w:hAnsi="Arial Narrow"/>
          <w:sz w:val="22"/>
          <w:szCs w:val="22"/>
          <w:color w:val="auto"/>
        </w:rPr>
        <w:t xml:space="preserve">Basic Managerial Finance- </w:t>
      </w:r>
      <w:r>
        <w:rPr>
          <w:rFonts w:ascii="等线" w:cs="等线" w:eastAsia="等线" w:hAnsi="等线"/>
          <w:sz w:val="22"/>
          <w:szCs w:val="22"/>
          <w:color w:val="auto"/>
        </w:rPr>
        <w:t>基础管理财务（</w:t>
      </w:r>
      <w:r>
        <w:rPr>
          <w:rFonts w:ascii="Arial Narrow" w:cs="Arial Narrow" w:eastAsia="Arial Narrow" w:hAnsi="Arial Narrow"/>
          <w:sz w:val="22"/>
          <w:szCs w:val="22"/>
          <w:color w:val="auto"/>
        </w:rPr>
        <w:t>MGMT X 130A</w:t>
      </w:r>
      <w:r>
        <w:rPr>
          <w:rFonts w:ascii="等线" w:cs="等线" w:eastAsia="等线" w:hAnsi="等线"/>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五、</w:t>
      </w:r>
      <w:r>
        <w:rPr>
          <w:sz w:val="20"/>
          <w:szCs w:val="20"/>
          <w:color w:val="auto"/>
        </w:rPr>
        <w:tab/>
      </w:r>
      <w:r>
        <w:rPr>
          <w:rFonts w:ascii="宋体" w:cs="宋体" w:eastAsia="宋体" w:hAnsi="宋体"/>
          <w:sz w:val="20"/>
          <w:szCs w:val="20"/>
          <w:b w:val="1"/>
          <w:bCs w:val="1"/>
          <w:color w:val="auto"/>
        </w:rPr>
        <w:t>项目时间</w:t>
      </w:r>
    </w:p>
    <w:p>
      <w:pPr>
        <w:spacing w:after="0" w:line="200" w:lineRule="exact"/>
        <w:rPr>
          <w:sz w:val="20"/>
          <w:szCs w:val="20"/>
          <w:color w:val="auto"/>
        </w:rPr>
      </w:pPr>
    </w:p>
    <w:p>
      <w:pPr>
        <w:spacing w:after="0" w:line="260" w:lineRule="exact"/>
        <w:rPr>
          <w:sz w:val="20"/>
          <w:szCs w:val="20"/>
          <w:color w:val="auto"/>
        </w:rPr>
      </w:pPr>
    </w:p>
    <w:p>
      <w:pPr>
        <w:ind w:left="840" w:hanging="420"/>
        <w:spacing w:after="0" w:line="255" w:lineRule="exact"/>
        <w:tabs>
          <w:tab w:leader="none" w:pos="840" w:val="left"/>
        </w:tabs>
        <w:numPr>
          <w:ilvl w:val="0"/>
          <w:numId w:val="12"/>
        </w:numPr>
        <w:rPr>
          <w:rFonts w:ascii="Wingdings" w:cs="Wingdings" w:eastAsia="Wingdings" w:hAnsi="Wingdings"/>
          <w:sz w:val="21"/>
          <w:szCs w:val="21"/>
          <w:b w:val="1"/>
          <w:bCs w:val="1"/>
          <w:color w:val="auto"/>
        </w:rPr>
      </w:pPr>
      <w:r>
        <w:rPr>
          <w:rFonts w:ascii="宋体" w:cs="宋体" w:eastAsia="宋体" w:hAnsi="宋体"/>
          <w:sz w:val="21"/>
          <w:szCs w:val="21"/>
          <w:color w:val="auto"/>
        </w:rPr>
        <w:t>秋季学期：</w:t>
      </w:r>
      <w:r>
        <w:rPr>
          <w:rFonts w:ascii="Arial Narrow" w:cs="Arial Narrow" w:eastAsia="Arial Narrow" w:hAnsi="Arial Narrow"/>
          <w:sz w:val="21"/>
          <w:szCs w:val="21"/>
          <w:color w:val="auto"/>
        </w:rPr>
        <w:t xml:space="preserve">9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 12 </w:t>
      </w:r>
      <w:r>
        <w:rPr>
          <w:rFonts w:ascii="宋体" w:cs="宋体" w:eastAsia="宋体" w:hAnsi="宋体"/>
          <w:sz w:val="21"/>
          <w:szCs w:val="21"/>
          <w:color w:val="auto"/>
        </w:rPr>
        <w:t>月；春季学期：</w:t>
      </w:r>
      <w:r>
        <w:rPr>
          <w:rFonts w:ascii="Arial Narrow" w:cs="Arial Narrow" w:eastAsia="Arial Narrow" w:hAnsi="Arial Narrow"/>
          <w:sz w:val="21"/>
          <w:szCs w:val="21"/>
          <w:color w:val="auto"/>
        </w:rPr>
        <w:t xml:space="preserve">3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 6 </w:t>
      </w:r>
      <w:r>
        <w:rPr>
          <w:rFonts w:ascii="宋体" w:cs="宋体" w:eastAsia="宋体" w:hAnsi="宋体"/>
          <w:sz w:val="21"/>
          <w:szCs w:val="21"/>
          <w:color w:val="auto"/>
        </w:rPr>
        <w:t>月；冬季学期：</w:t>
      </w:r>
      <w:r>
        <w:rPr>
          <w:rFonts w:ascii="Arial Narrow" w:cs="Arial Narrow" w:eastAsia="Arial Narrow" w:hAnsi="Arial Narrow"/>
          <w:sz w:val="21"/>
          <w:szCs w:val="21"/>
          <w:color w:val="auto"/>
        </w:rPr>
        <w:t xml:space="preserve">1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 3 </w:t>
      </w:r>
      <w:r>
        <w:rPr>
          <w:rFonts w:ascii="宋体" w:cs="宋体" w:eastAsia="宋体" w:hAnsi="宋体"/>
          <w:sz w:val="21"/>
          <w:szCs w:val="21"/>
          <w:color w:val="auto"/>
        </w:rPr>
        <w:t>月；</w:t>
      </w:r>
    </w:p>
    <w:p>
      <w:pPr>
        <w:spacing w:after="0" w:line="108" w:lineRule="exact"/>
        <w:rPr>
          <w:rFonts w:ascii="Wingdings" w:cs="Wingdings" w:eastAsia="Wingdings" w:hAnsi="Wingdings"/>
          <w:sz w:val="21"/>
          <w:szCs w:val="21"/>
          <w:b w:val="1"/>
          <w:bCs w:val="1"/>
          <w:color w:val="auto"/>
        </w:rPr>
      </w:pPr>
    </w:p>
    <w:p>
      <w:pPr>
        <w:ind w:left="840" w:hanging="420"/>
        <w:spacing w:after="0" w:line="255" w:lineRule="exact"/>
        <w:tabs>
          <w:tab w:leader="none" w:pos="840" w:val="left"/>
        </w:tabs>
        <w:numPr>
          <w:ilvl w:val="0"/>
          <w:numId w:val="12"/>
        </w:numPr>
        <w:rPr>
          <w:rFonts w:ascii="Wingdings" w:cs="Wingdings" w:eastAsia="Wingdings" w:hAnsi="Wingdings"/>
          <w:sz w:val="21"/>
          <w:szCs w:val="21"/>
          <w:b w:val="1"/>
          <w:bCs w:val="1"/>
          <w:color w:val="auto"/>
        </w:rPr>
      </w:pPr>
      <w:r>
        <w:rPr>
          <w:rFonts w:ascii="宋体" w:cs="宋体" w:eastAsia="宋体" w:hAnsi="宋体"/>
          <w:sz w:val="21"/>
          <w:szCs w:val="21"/>
          <w:color w:val="auto"/>
        </w:rPr>
        <w:t>学生也可根据自己的情况参加多学期或者学年的交流学习。</w:t>
      </w: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40"/>
        </w:trPr>
        <w:tc>
          <w:tcPr>
            <w:tcW w:w="640" w:type="dxa"/>
            <w:vAlign w:val="bottom"/>
          </w:tcPr>
          <w:p>
            <w:pPr>
              <w:spacing w:after="0" w:line="240" w:lineRule="exact"/>
              <w:rPr>
                <w:sz w:val="20"/>
                <w:szCs w:val="20"/>
                <w:color w:val="auto"/>
              </w:rPr>
            </w:pPr>
            <w:r>
              <w:rPr>
                <w:rFonts w:ascii="宋体" w:cs="宋体" w:eastAsia="宋体" w:hAnsi="宋体"/>
                <w:sz w:val="21"/>
                <w:szCs w:val="21"/>
                <w:b w:val="1"/>
                <w:bCs w:val="1"/>
                <w:color w:val="auto"/>
              </w:rPr>
              <w:t>六、</w:t>
            </w:r>
          </w:p>
        </w:tc>
        <w:tc>
          <w:tcPr>
            <w:tcW w:w="2680" w:type="dxa"/>
            <w:vAlign w:val="bottom"/>
            <w:gridSpan w:val="2"/>
          </w:tcPr>
          <w:p>
            <w:pPr>
              <w:ind w:left="200"/>
              <w:spacing w:after="0" w:line="240" w:lineRule="exact"/>
              <w:rPr>
                <w:sz w:val="20"/>
                <w:szCs w:val="20"/>
                <w:color w:val="auto"/>
              </w:rPr>
            </w:pPr>
            <w:r>
              <w:rPr>
                <w:rFonts w:ascii="宋体" w:cs="宋体" w:eastAsia="宋体" w:hAnsi="宋体"/>
                <w:sz w:val="21"/>
                <w:szCs w:val="21"/>
                <w:b w:val="1"/>
                <w:bCs w:val="1"/>
                <w:color w:val="auto"/>
              </w:rPr>
              <w:t>项目费用及说明</w:t>
            </w:r>
          </w:p>
        </w:tc>
        <w:tc>
          <w:tcPr>
            <w:tcW w:w="180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820" w:type="dxa"/>
            <w:vAlign w:val="bottom"/>
          </w:tcPr>
          <w:p>
            <w:pPr>
              <w:spacing w:after="0"/>
              <w:rPr>
                <w:sz w:val="20"/>
                <w:szCs w:val="20"/>
                <w:color w:val="auto"/>
              </w:rPr>
            </w:pPr>
          </w:p>
        </w:tc>
      </w:tr>
      <w:tr>
        <w:trPr>
          <w:trHeight w:val="754"/>
        </w:trPr>
        <w:tc>
          <w:tcPr>
            <w:tcW w:w="640" w:type="dxa"/>
            <w:vAlign w:val="bottom"/>
          </w:tcPr>
          <w:p>
            <w:pPr>
              <w:spacing w:after="0"/>
              <w:rPr>
                <w:sz w:val="24"/>
                <w:szCs w:val="24"/>
                <w:color w:val="auto"/>
              </w:rPr>
            </w:pPr>
          </w:p>
        </w:tc>
        <w:tc>
          <w:tcPr>
            <w:tcW w:w="4480" w:type="dxa"/>
            <w:vAlign w:val="bottom"/>
            <w:gridSpan w:val="3"/>
          </w:tcPr>
          <w:p>
            <w:pPr>
              <w:ind w:left="200"/>
              <w:spacing w:after="0" w:line="255" w:lineRule="exact"/>
              <w:rPr>
                <w:sz w:val="20"/>
                <w:szCs w:val="20"/>
                <w:color w:val="auto"/>
              </w:rPr>
            </w:pPr>
            <w:r>
              <w:rPr>
                <w:rFonts w:ascii="宋体" w:cs="宋体" w:eastAsia="宋体" w:hAnsi="宋体"/>
                <w:sz w:val="21"/>
                <w:szCs w:val="21"/>
                <w:b w:val="1"/>
                <w:bCs w:val="1"/>
                <w:color w:val="auto"/>
              </w:rPr>
              <w:t>常规学期项目费用参考 （</w:t>
            </w:r>
            <w:r>
              <w:rPr>
                <w:rFonts w:ascii="Arial Narrow" w:cs="Arial Narrow" w:eastAsia="Arial Narrow" w:hAnsi="Arial Narrow"/>
                <w:sz w:val="21"/>
                <w:szCs w:val="21"/>
                <w:b w:val="1"/>
                <w:bCs w:val="1"/>
                <w:color w:val="auto"/>
              </w:rPr>
              <w:t xml:space="preserve">2019 </w:t>
            </w:r>
            <w:r>
              <w:rPr>
                <w:rFonts w:ascii="宋体" w:cs="宋体" w:eastAsia="宋体" w:hAnsi="宋体"/>
                <w:sz w:val="21"/>
                <w:szCs w:val="21"/>
                <w:b w:val="1"/>
                <w:bCs w:val="1"/>
                <w:color w:val="auto"/>
              </w:rPr>
              <w:t>年秋季）</w:t>
            </w:r>
          </w:p>
        </w:tc>
        <w:tc>
          <w:tcPr>
            <w:tcW w:w="1560" w:type="dxa"/>
            <w:vAlign w:val="bottom"/>
          </w:tcPr>
          <w:p>
            <w:pPr>
              <w:spacing w:after="0"/>
              <w:rPr>
                <w:sz w:val="24"/>
                <w:szCs w:val="24"/>
                <w:color w:val="auto"/>
              </w:rPr>
            </w:pPr>
          </w:p>
        </w:tc>
        <w:tc>
          <w:tcPr>
            <w:tcW w:w="1820" w:type="dxa"/>
            <w:vAlign w:val="bottom"/>
          </w:tcPr>
          <w:p>
            <w:pPr>
              <w:spacing w:after="0"/>
              <w:rPr>
                <w:sz w:val="24"/>
                <w:szCs w:val="24"/>
                <w:color w:val="auto"/>
              </w:rPr>
            </w:pPr>
          </w:p>
        </w:tc>
      </w:tr>
      <w:tr>
        <w:trPr>
          <w:trHeight w:val="39"/>
        </w:trPr>
        <w:tc>
          <w:tcPr>
            <w:tcW w:w="6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40" w:type="dxa"/>
            <w:vAlign w:val="bottom"/>
            <w:tcBorders>
              <w:bottom w:val="single" w:sz="8" w:color="auto"/>
            </w:tcBorders>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r>
      <w:tr>
        <w:trPr>
          <w:trHeight w:val="307"/>
        </w:trPr>
        <w:tc>
          <w:tcPr>
            <w:tcW w:w="6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04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w w:val="99"/>
              </w:rPr>
              <w:t>基础项目费用</w:t>
            </w:r>
          </w:p>
        </w:tc>
        <w:tc>
          <w:tcPr>
            <w:tcW w:w="180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住宿费</w:t>
            </w:r>
          </w:p>
        </w:tc>
        <w:tc>
          <w:tcPr>
            <w:tcW w:w="156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保险费</w:t>
            </w:r>
          </w:p>
        </w:tc>
        <w:tc>
          <w:tcPr>
            <w:tcW w:w="182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总费用预估</w:t>
            </w:r>
          </w:p>
        </w:tc>
      </w:tr>
      <w:tr>
        <w:trPr>
          <w:trHeight w:val="296"/>
        </w:trPr>
        <w:tc>
          <w:tcPr>
            <w:tcW w:w="6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04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9470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c>
          <w:tcPr>
            <w:tcW w:w="180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4980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c>
          <w:tcPr>
            <w:tcW w:w="156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w w:val="99"/>
              </w:rPr>
              <w:t xml:space="preserve">110 </w:t>
            </w:r>
            <w:r>
              <w:rPr>
                <w:rFonts w:ascii="宋体" w:cs="宋体" w:eastAsia="宋体" w:hAnsi="宋体"/>
                <w:sz w:val="21"/>
                <w:szCs w:val="21"/>
                <w:color w:val="auto"/>
                <w:w w:val="99"/>
              </w:rPr>
              <w:t>美元</w:t>
            </w:r>
            <w:r>
              <w:rPr>
                <w:rFonts w:ascii="Arial Narrow" w:cs="Arial Narrow" w:eastAsia="Arial Narrow" w:hAnsi="Arial Narrow"/>
                <w:sz w:val="21"/>
                <w:szCs w:val="21"/>
                <w:color w:val="auto"/>
                <w:w w:val="99"/>
              </w:rPr>
              <w:t>/</w:t>
            </w:r>
            <w:r>
              <w:rPr>
                <w:rFonts w:ascii="宋体" w:cs="宋体" w:eastAsia="宋体" w:hAnsi="宋体"/>
                <w:sz w:val="21"/>
                <w:szCs w:val="21"/>
                <w:color w:val="auto"/>
                <w:w w:val="99"/>
              </w:rPr>
              <w:t>学期</w:t>
            </w:r>
          </w:p>
        </w:tc>
        <w:tc>
          <w:tcPr>
            <w:tcW w:w="182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14560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r>
      <w:tr>
        <w:trPr>
          <w:trHeight w:val="673"/>
        </w:trPr>
        <w:tc>
          <w:tcPr>
            <w:tcW w:w="640" w:type="dxa"/>
            <w:vAlign w:val="bottom"/>
          </w:tcPr>
          <w:p>
            <w:pPr>
              <w:spacing w:after="0"/>
              <w:rPr>
                <w:sz w:val="24"/>
                <w:szCs w:val="24"/>
                <w:color w:val="auto"/>
              </w:rPr>
            </w:pPr>
          </w:p>
        </w:tc>
        <w:tc>
          <w:tcPr>
            <w:tcW w:w="4480" w:type="dxa"/>
            <w:vAlign w:val="bottom"/>
            <w:gridSpan w:val="3"/>
          </w:tcPr>
          <w:p>
            <w:pPr>
              <w:ind w:left="200"/>
              <w:spacing w:after="0" w:line="255" w:lineRule="exact"/>
              <w:rPr>
                <w:sz w:val="20"/>
                <w:szCs w:val="20"/>
                <w:color w:val="auto"/>
              </w:rPr>
            </w:pPr>
            <w:r>
              <w:rPr>
                <w:rFonts w:ascii="宋体" w:cs="宋体" w:eastAsia="宋体" w:hAnsi="宋体"/>
                <w:sz w:val="21"/>
                <w:szCs w:val="21"/>
                <w:b w:val="1"/>
                <w:bCs w:val="1"/>
                <w:color w:val="auto"/>
              </w:rPr>
              <w:t>商科方向项目费用参考（</w:t>
            </w:r>
            <w:r>
              <w:rPr>
                <w:rFonts w:ascii="Arial Narrow" w:cs="Arial Narrow" w:eastAsia="Arial Narrow" w:hAnsi="Arial Narrow"/>
                <w:sz w:val="21"/>
                <w:szCs w:val="21"/>
                <w:b w:val="1"/>
                <w:bCs w:val="1"/>
                <w:color w:val="auto"/>
              </w:rPr>
              <w:t xml:space="preserve">2020 </w:t>
            </w:r>
            <w:r>
              <w:rPr>
                <w:rFonts w:ascii="宋体" w:cs="宋体" w:eastAsia="宋体" w:hAnsi="宋体"/>
                <w:sz w:val="21"/>
                <w:szCs w:val="21"/>
                <w:b w:val="1"/>
                <w:bCs w:val="1"/>
                <w:color w:val="auto"/>
              </w:rPr>
              <w:t>年春季）</w:t>
            </w:r>
          </w:p>
        </w:tc>
        <w:tc>
          <w:tcPr>
            <w:tcW w:w="1560" w:type="dxa"/>
            <w:vAlign w:val="bottom"/>
          </w:tcPr>
          <w:p>
            <w:pPr>
              <w:spacing w:after="0"/>
              <w:rPr>
                <w:sz w:val="24"/>
                <w:szCs w:val="24"/>
                <w:color w:val="auto"/>
              </w:rPr>
            </w:pPr>
          </w:p>
        </w:tc>
        <w:tc>
          <w:tcPr>
            <w:tcW w:w="1820" w:type="dxa"/>
            <w:vAlign w:val="bottom"/>
          </w:tcPr>
          <w:p>
            <w:pPr>
              <w:spacing w:after="0"/>
              <w:rPr>
                <w:sz w:val="24"/>
                <w:szCs w:val="24"/>
                <w:color w:val="auto"/>
              </w:rPr>
            </w:pPr>
          </w:p>
        </w:tc>
      </w:tr>
      <w:tr>
        <w:trPr>
          <w:trHeight w:val="42"/>
        </w:trPr>
        <w:tc>
          <w:tcPr>
            <w:tcW w:w="64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40" w:type="dxa"/>
            <w:vAlign w:val="bottom"/>
            <w:tcBorders>
              <w:bottom w:val="single" w:sz="8" w:color="auto"/>
            </w:tcBorders>
          </w:tcPr>
          <w:p>
            <w:pPr>
              <w:spacing w:after="0"/>
              <w:rPr>
                <w:sz w:val="3"/>
                <w:szCs w:val="3"/>
                <w:color w:val="auto"/>
              </w:rPr>
            </w:pPr>
          </w:p>
        </w:tc>
        <w:tc>
          <w:tcPr>
            <w:tcW w:w="180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r>
      <w:tr>
        <w:trPr>
          <w:trHeight w:val="307"/>
        </w:trPr>
        <w:tc>
          <w:tcPr>
            <w:tcW w:w="6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04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w w:val="99"/>
              </w:rPr>
              <w:t>基础项目费用</w:t>
            </w:r>
          </w:p>
        </w:tc>
        <w:tc>
          <w:tcPr>
            <w:tcW w:w="180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住宿费</w:t>
            </w:r>
          </w:p>
        </w:tc>
        <w:tc>
          <w:tcPr>
            <w:tcW w:w="156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保险费</w:t>
            </w:r>
          </w:p>
        </w:tc>
        <w:tc>
          <w:tcPr>
            <w:tcW w:w="1820" w:type="dxa"/>
            <w:vAlign w:val="bottom"/>
            <w:tcBorders>
              <w:bottom w:val="single" w:sz="8" w:color="F79646"/>
              <w:right w:val="single" w:sz="8" w:color="auto"/>
            </w:tcBorders>
            <w:shd w:val="clear" w:color="auto" w:fill="F79646"/>
          </w:tcPr>
          <w:p>
            <w:pPr>
              <w:jc w:val="center"/>
              <w:spacing w:after="0" w:line="240" w:lineRule="exact"/>
              <w:rPr>
                <w:sz w:val="20"/>
                <w:szCs w:val="20"/>
                <w:color w:val="auto"/>
              </w:rPr>
            </w:pPr>
            <w:r>
              <w:rPr>
                <w:rFonts w:ascii="宋体" w:cs="宋体" w:eastAsia="宋体" w:hAnsi="宋体"/>
                <w:sz w:val="21"/>
                <w:szCs w:val="21"/>
                <w:b w:val="1"/>
                <w:bCs w:val="1"/>
                <w:color w:val="auto"/>
              </w:rPr>
              <w:t>总费用预估</w:t>
            </w:r>
          </w:p>
        </w:tc>
      </w:tr>
      <w:tr>
        <w:trPr>
          <w:trHeight w:val="294"/>
        </w:trPr>
        <w:tc>
          <w:tcPr>
            <w:tcW w:w="640" w:type="dxa"/>
            <w:vAlign w:val="bottom"/>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204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16790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c>
          <w:tcPr>
            <w:tcW w:w="180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4390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c>
          <w:tcPr>
            <w:tcW w:w="156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70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c>
          <w:tcPr>
            <w:tcW w:w="1820" w:type="dxa"/>
            <w:vAlign w:val="bottom"/>
            <w:tcBorders>
              <w:top w:val="single" w:sz="8" w:color="auto"/>
              <w:bottom w:val="single" w:sz="8" w:color="auto"/>
              <w:right w:val="single" w:sz="8" w:color="auto"/>
            </w:tcBorders>
          </w:tcPr>
          <w:p>
            <w:pPr>
              <w:jc w:val="center"/>
              <w:spacing w:after="0" w:line="255" w:lineRule="exact"/>
              <w:rPr>
                <w:sz w:val="20"/>
                <w:szCs w:val="20"/>
                <w:color w:val="auto"/>
              </w:rPr>
            </w:pPr>
            <w:r>
              <w:rPr>
                <w:rFonts w:ascii="Arial Narrow" w:cs="Arial Narrow" w:eastAsia="Arial Narrow" w:hAnsi="Arial Narrow"/>
                <w:sz w:val="21"/>
                <w:szCs w:val="21"/>
                <w:color w:val="auto"/>
              </w:rPr>
              <w:t xml:space="preserve">21250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学期</w:t>
            </w:r>
          </w:p>
        </w:tc>
      </w:tr>
      <w:tr>
        <w:trPr>
          <w:trHeight w:val="668"/>
        </w:trPr>
        <w:tc>
          <w:tcPr>
            <w:tcW w:w="6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800" w:type="dxa"/>
            <w:vAlign w:val="bottom"/>
          </w:tcPr>
          <w:p>
            <w:pPr>
              <w:jc w:val="right"/>
              <w:ind w:right="98"/>
              <w:spacing w:after="0"/>
              <w:rPr>
                <w:sz w:val="20"/>
                <w:szCs w:val="20"/>
                <w:color w:val="auto"/>
              </w:rPr>
            </w:pPr>
            <w:r>
              <w:rPr>
                <w:rFonts w:ascii="Arial Narrow" w:cs="Arial Narrow" w:eastAsia="Arial Narrow" w:hAnsi="Arial Narrow"/>
                <w:sz w:val="18"/>
                <w:szCs w:val="18"/>
                <w:color w:val="auto"/>
              </w:rPr>
              <w:t>3</w:t>
            </w:r>
          </w:p>
        </w:tc>
        <w:tc>
          <w:tcPr>
            <w:tcW w:w="1560" w:type="dxa"/>
            <w:vAlign w:val="bottom"/>
          </w:tcPr>
          <w:p>
            <w:pPr>
              <w:spacing w:after="0"/>
              <w:rPr>
                <w:sz w:val="24"/>
                <w:szCs w:val="24"/>
                <w:color w:val="auto"/>
              </w:rPr>
            </w:pPr>
          </w:p>
        </w:tc>
        <w:tc>
          <w:tcPr>
            <w:tcW w:w="1820" w:type="dxa"/>
            <w:vAlign w:val="bottom"/>
          </w:tcPr>
          <w:p>
            <w:pPr>
              <w:spacing w:after="0"/>
              <w:rPr>
                <w:sz w:val="24"/>
                <w:szCs w:val="24"/>
                <w:color w:val="auto"/>
              </w:rPr>
            </w:pPr>
          </w:p>
        </w:tc>
      </w:tr>
    </w:tbl>
    <w:p>
      <w:pPr>
        <w:sectPr>
          <w:pgSz w:w="11900" w:h="16838" w:orient="portrait"/>
          <w:cols w:equalWidth="0" w:num="1">
            <w:col w:w="9740"/>
          </w:cols>
          <w:pgMar w:left="1080" w:top="1440" w:right="1086" w:bottom="632"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费用说明：</w:t>
      </w:r>
    </w:p>
    <w:p>
      <w:pPr>
        <w:spacing w:after="0" w:line="110" w:lineRule="exact"/>
        <w:rPr>
          <w:sz w:val="20"/>
          <w:szCs w:val="20"/>
          <w:color w:val="auto"/>
        </w:rPr>
      </w:pPr>
    </w:p>
    <w:p>
      <w:pPr>
        <w:ind w:left="760" w:hanging="429"/>
        <w:spacing w:after="0" w:line="255" w:lineRule="exact"/>
        <w:tabs>
          <w:tab w:leader="none" w:pos="760" w:val="left"/>
        </w:tabs>
        <w:numPr>
          <w:ilvl w:val="0"/>
          <w:numId w:val="13"/>
        </w:numPr>
        <w:rPr>
          <w:rFonts w:ascii="Arial Narrow" w:cs="Arial Narrow" w:eastAsia="Arial Narrow" w:hAnsi="Arial Narrow"/>
          <w:sz w:val="21"/>
          <w:szCs w:val="21"/>
          <w:color w:val="auto"/>
        </w:rPr>
      </w:pPr>
      <w:r>
        <w:rPr>
          <w:rFonts w:ascii="宋体" w:cs="宋体" w:eastAsia="宋体" w:hAnsi="宋体"/>
          <w:sz w:val="21"/>
          <w:szCs w:val="21"/>
          <w:color w:val="auto"/>
        </w:rPr>
        <w:t>项目费用内容：包含对应学杂费及</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的服务管理费用。</w:t>
      </w:r>
    </w:p>
    <w:p>
      <w:pPr>
        <w:spacing w:after="0" w:line="105" w:lineRule="exact"/>
        <w:rPr>
          <w:rFonts w:ascii="Arial Narrow" w:cs="Arial Narrow" w:eastAsia="Arial Narrow" w:hAnsi="Arial Narrow"/>
          <w:sz w:val="21"/>
          <w:szCs w:val="21"/>
          <w:color w:val="auto"/>
        </w:rPr>
      </w:pPr>
    </w:p>
    <w:p>
      <w:pPr>
        <w:jc w:val="both"/>
        <w:ind w:left="1180" w:hanging="429"/>
        <w:spacing w:after="0" w:line="325" w:lineRule="exact"/>
        <w:tabs>
          <w:tab w:leader="none" w:pos="1180" w:val="left"/>
        </w:tabs>
        <w:numPr>
          <w:ilvl w:val="1"/>
          <w:numId w:val="13"/>
        </w:numPr>
        <w:rPr>
          <w:rFonts w:ascii="Wingdings" w:cs="Wingdings" w:eastAsia="Wingdings" w:hAnsi="Wingdings"/>
          <w:sz w:val="21"/>
          <w:szCs w:val="21"/>
          <w:b w:val="1"/>
          <w:bCs w:val="1"/>
          <w:color w:val="auto"/>
        </w:rPr>
      </w:pPr>
      <w:r>
        <w:rPr>
          <w:rFonts w:ascii="宋体" w:cs="宋体" w:eastAsia="宋体" w:hAnsi="宋体"/>
          <w:sz w:val="21"/>
          <w:szCs w:val="21"/>
          <w:color w:val="auto"/>
        </w:rPr>
        <w:t>学费及学校必收杂费：每学期</w:t>
      </w:r>
      <w:r>
        <w:rPr>
          <w:rFonts w:ascii="Arial Narrow" w:cs="Arial Narrow" w:eastAsia="Arial Narrow" w:hAnsi="Arial Narrow"/>
          <w:sz w:val="21"/>
          <w:szCs w:val="21"/>
          <w:color w:val="auto"/>
        </w:rPr>
        <w:t xml:space="preserve"> 3 </w:t>
      </w:r>
      <w:r>
        <w:rPr>
          <w:rFonts w:ascii="宋体" w:cs="宋体" w:eastAsia="宋体" w:hAnsi="宋体"/>
          <w:sz w:val="21"/>
          <w:szCs w:val="21"/>
          <w:color w:val="auto"/>
        </w:rPr>
        <w:t>门课，共</w:t>
      </w:r>
      <w:r>
        <w:rPr>
          <w:rFonts w:ascii="Arial Narrow" w:cs="Arial Narrow" w:eastAsia="Arial Narrow" w:hAnsi="Arial Narrow"/>
          <w:sz w:val="21"/>
          <w:szCs w:val="21"/>
          <w:color w:val="auto"/>
        </w:rPr>
        <w:t xml:space="preserve"> 12 </w:t>
      </w:r>
      <w:r>
        <w:rPr>
          <w:rFonts w:ascii="宋体" w:cs="宋体" w:eastAsia="宋体" w:hAnsi="宋体"/>
          <w:sz w:val="21"/>
          <w:szCs w:val="21"/>
          <w:color w:val="auto"/>
        </w:rPr>
        <w:t>学分（基于人文社科领域课程费用）。若实际修读学分超过规定学分，则多出的学分部分按照学校的学费标准补缴学费。各学校收取种类及金额不一的杂费，通常包括申请费、国际学生服务费、设施费等。</w:t>
      </w:r>
    </w:p>
    <w:p>
      <w:pPr>
        <w:spacing w:after="0" w:line="71" w:lineRule="exact"/>
        <w:rPr>
          <w:rFonts w:ascii="Wingdings" w:cs="Wingdings" w:eastAsia="Wingdings" w:hAnsi="Wingdings"/>
          <w:sz w:val="21"/>
          <w:szCs w:val="21"/>
          <w:b w:val="1"/>
          <w:bCs w:val="1"/>
          <w:color w:val="auto"/>
        </w:rPr>
      </w:pPr>
    </w:p>
    <w:p>
      <w:pPr>
        <w:jc w:val="both"/>
        <w:ind w:left="1180" w:hanging="429"/>
        <w:spacing w:after="0" w:line="337" w:lineRule="exact"/>
        <w:tabs>
          <w:tab w:leader="none" w:pos="1180" w:val="left"/>
        </w:tabs>
        <w:numPr>
          <w:ilvl w:val="1"/>
          <w:numId w:val="13"/>
        </w:numPr>
        <w:rPr>
          <w:rFonts w:ascii="Wingdings" w:cs="Wingdings" w:eastAsia="Wingdings" w:hAnsi="Wingdings"/>
          <w:sz w:val="21"/>
          <w:szCs w:val="21"/>
          <w:b w:val="1"/>
          <w:bCs w:val="1"/>
          <w:color w:val="auto"/>
        </w:rPr>
      </w:pP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项目服务主要包括：项目咨询、项目申请及课程注册、住宿安排（见住宿及用餐部分介绍）、旅行和应急保险购买、签证指导（</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历年来积累了非常丰富的签证经验，签证申请有保障）、行前指导、赴美地面接机、</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美国工作人员在美提供的应急支援及服务等。</w:t>
      </w:r>
    </w:p>
    <w:p>
      <w:pPr>
        <w:spacing w:after="0" w:line="101" w:lineRule="exact"/>
        <w:rPr>
          <w:rFonts w:ascii="Wingdings" w:cs="Wingdings" w:eastAsia="Wingdings" w:hAnsi="Wingdings"/>
          <w:sz w:val="21"/>
          <w:szCs w:val="21"/>
          <w:b w:val="1"/>
          <w:bCs w:val="1"/>
          <w:color w:val="auto"/>
        </w:rPr>
      </w:pPr>
    </w:p>
    <w:p>
      <w:pPr>
        <w:ind w:left="760" w:hanging="429"/>
        <w:spacing w:after="0" w:line="255" w:lineRule="exact"/>
        <w:tabs>
          <w:tab w:leader="none" w:pos="760" w:val="left"/>
        </w:tabs>
        <w:numPr>
          <w:ilvl w:val="0"/>
          <w:numId w:val="13"/>
        </w:numPr>
        <w:rPr>
          <w:rFonts w:ascii="Arial Narrow" w:cs="Arial Narrow" w:eastAsia="Arial Narrow" w:hAnsi="Arial Narrow"/>
          <w:sz w:val="21"/>
          <w:szCs w:val="21"/>
          <w:color w:val="auto"/>
        </w:rPr>
      </w:pPr>
      <w:r>
        <w:rPr>
          <w:rFonts w:ascii="宋体" w:cs="宋体" w:eastAsia="宋体" w:hAnsi="宋体"/>
          <w:sz w:val="21"/>
          <w:szCs w:val="21"/>
          <w:color w:val="auto"/>
        </w:rPr>
        <w:t>其他必收费用：</w:t>
      </w:r>
    </w:p>
    <w:p>
      <w:pPr>
        <w:spacing w:after="0" w:line="69" w:lineRule="exact"/>
        <w:rPr>
          <w:rFonts w:ascii="Arial Narrow" w:cs="Arial Narrow" w:eastAsia="Arial Narrow" w:hAnsi="Arial Narrow"/>
          <w:sz w:val="21"/>
          <w:szCs w:val="21"/>
          <w:color w:val="auto"/>
        </w:rPr>
      </w:pPr>
    </w:p>
    <w:p>
      <w:pPr>
        <w:ind w:left="1180" w:hanging="429"/>
        <w:spacing w:after="0" w:line="309" w:lineRule="exact"/>
        <w:tabs>
          <w:tab w:leader="none" w:pos="1180" w:val="left"/>
        </w:tabs>
        <w:numPr>
          <w:ilvl w:val="1"/>
          <w:numId w:val="13"/>
        </w:numPr>
        <w:rPr>
          <w:rFonts w:ascii="Wingdings" w:cs="Wingdings" w:eastAsia="Wingdings" w:hAnsi="Wingdings"/>
          <w:sz w:val="21"/>
          <w:szCs w:val="21"/>
          <w:b w:val="1"/>
          <w:bCs w:val="1"/>
          <w:color w:val="auto"/>
        </w:rPr>
      </w:pPr>
      <w:r>
        <w:rPr>
          <w:rFonts w:ascii="宋体" w:cs="宋体" w:eastAsia="宋体" w:hAnsi="宋体"/>
          <w:sz w:val="21"/>
          <w:szCs w:val="21"/>
          <w:color w:val="auto"/>
        </w:rPr>
        <w:t>住宿及用餐：出于安全角度考虑，</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将为所有参与项目的同学统一安排住宿。住宿费基于校外学生公寓双人间标准（不含餐）。</w:t>
      </w:r>
    </w:p>
    <w:p>
      <w:pPr>
        <w:spacing w:after="0" w:line="148" w:lineRule="exact"/>
        <w:rPr>
          <w:rFonts w:ascii="Wingdings" w:cs="Wingdings" w:eastAsia="Wingdings" w:hAnsi="Wingdings"/>
          <w:sz w:val="21"/>
          <w:szCs w:val="21"/>
          <w:b w:val="1"/>
          <w:bCs w:val="1"/>
          <w:color w:val="auto"/>
        </w:rPr>
      </w:pPr>
    </w:p>
    <w:p>
      <w:pPr>
        <w:ind w:left="1180" w:right="20" w:hanging="429"/>
        <w:spacing w:after="0" w:line="302" w:lineRule="exact"/>
        <w:tabs>
          <w:tab w:leader="none" w:pos="1180" w:val="left"/>
        </w:tabs>
        <w:numPr>
          <w:ilvl w:val="1"/>
          <w:numId w:val="13"/>
        </w:numPr>
        <w:rPr>
          <w:rFonts w:ascii="Wingdings" w:cs="Wingdings" w:eastAsia="Wingdings" w:hAnsi="Wingdings"/>
          <w:sz w:val="21"/>
          <w:szCs w:val="21"/>
          <w:b w:val="1"/>
          <w:bCs w:val="1"/>
          <w:color w:val="auto"/>
        </w:rPr>
      </w:pPr>
      <w:r>
        <w:rPr>
          <w:rFonts w:ascii="宋体" w:cs="宋体" w:eastAsia="宋体" w:hAnsi="宋体"/>
          <w:sz w:val="21"/>
          <w:szCs w:val="21"/>
          <w:color w:val="auto"/>
        </w:rPr>
        <w:t>医疗及应急保险费用：由于在海外就医费用非常昂贵，为确保在有就医需求或者应急状态下同学们有相应的经济保障，</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会为同学安排学校默认医疗及第三方应急保险。</w:t>
      </w:r>
    </w:p>
    <w:p>
      <w:pPr>
        <w:spacing w:after="0" w:line="99" w:lineRule="exact"/>
        <w:rPr>
          <w:rFonts w:ascii="Wingdings" w:cs="Wingdings" w:eastAsia="Wingdings" w:hAnsi="Wingdings"/>
          <w:sz w:val="21"/>
          <w:szCs w:val="21"/>
          <w:b w:val="1"/>
          <w:bCs w:val="1"/>
          <w:color w:val="auto"/>
        </w:rPr>
      </w:pPr>
    </w:p>
    <w:p>
      <w:pPr>
        <w:jc w:val="both"/>
        <w:ind w:left="1180" w:hanging="429"/>
        <w:spacing w:after="0" w:line="334" w:lineRule="exact"/>
        <w:tabs>
          <w:tab w:leader="none" w:pos="1180" w:val="left"/>
        </w:tabs>
        <w:numPr>
          <w:ilvl w:val="1"/>
          <w:numId w:val="13"/>
        </w:numPr>
        <w:rPr>
          <w:rFonts w:ascii="Wingdings" w:cs="Wingdings" w:eastAsia="Wingdings" w:hAnsi="Wingdings"/>
          <w:sz w:val="21"/>
          <w:szCs w:val="21"/>
          <w:b w:val="1"/>
          <w:bCs w:val="1"/>
          <w:color w:val="auto"/>
        </w:rPr>
      </w:pPr>
      <w:r>
        <w:rPr>
          <w:rFonts w:ascii="宋体" w:cs="宋体" w:eastAsia="宋体" w:hAnsi="宋体"/>
          <w:sz w:val="21"/>
          <w:szCs w:val="21"/>
          <w:color w:val="auto"/>
        </w:rPr>
        <w:t>学生自备费用：学生需自行准备签证费用、个人零花费用及国际机票费用。</w:t>
      </w:r>
      <w:r>
        <w:rPr>
          <w:rFonts w:ascii="Arial Narrow" w:cs="Arial Narrow" w:eastAsia="Arial Narrow" w:hAnsi="Arial Narrow"/>
          <w:sz w:val="21"/>
          <w:szCs w:val="21"/>
          <w:color w:val="auto"/>
        </w:rPr>
        <w:t xml:space="preserve">F1 </w:t>
      </w:r>
      <w:r>
        <w:rPr>
          <w:rFonts w:ascii="宋体" w:cs="宋体" w:eastAsia="宋体" w:hAnsi="宋体"/>
          <w:sz w:val="21"/>
          <w:szCs w:val="21"/>
          <w:color w:val="auto"/>
        </w:rPr>
        <w:t>学生签证费用共计为</w:t>
      </w:r>
      <w:r>
        <w:rPr>
          <w:rFonts w:ascii="Arial Narrow" w:cs="Arial Narrow" w:eastAsia="Arial Narrow" w:hAnsi="Arial Narrow"/>
          <w:sz w:val="21"/>
          <w:szCs w:val="21"/>
          <w:color w:val="auto"/>
        </w:rPr>
        <w:t xml:space="preserve"> 510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签证费</w:t>
      </w:r>
      <w:r>
        <w:rPr>
          <w:rFonts w:ascii="Arial Narrow" w:cs="Arial Narrow" w:eastAsia="Arial Narrow" w:hAnsi="Arial Narrow"/>
          <w:sz w:val="21"/>
          <w:szCs w:val="21"/>
          <w:color w:val="auto"/>
        </w:rPr>
        <w:t xml:space="preserve">+SEVIS </w:t>
      </w:r>
      <w:r>
        <w:rPr>
          <w:rFonts w:ascii="宋体" w:cs="宋体" w:eastAsia="宋体" w:hAnsi="宋体"/>
          <w:sz w:val="21"/>
          <w:szCs w:val="21"/>
          <w:color w:val="auto"/>
        </w:rPr>
        <w:t>费</w:t>
      </w:r>
      <w:r>
        <w:rPr>
          <w:rFonts w:ascii="Arial Narrow" w:cs="Arial Narrow" w:eastAsia="Arial Narrow" w:hAnsi="Arial Narrow"/>
          <w:sz w:val="21"/>
          <w:szCs w:val="21"/>
          <w:color w:val="auto"/>
        </w:rPr>
        <w:t>)</w:t>
      </w:r>
      <w:r>
        <w:rPr>
          <w:rFonts w:ascii="宋体" w:cs="宋体" w:eastAsia="宋体" w:hAnsi="宋体"/>
          <w:sz w:val="21"/>
          <w:szCs w:val="21"/>
          <w:color w:val="auto"/>
        </w:rPr>
        <w:t>。个人零花费用根据学生个人情况不同，</w:t>
      </w:r>
      <w:r>
        <w:rPr>
          <w:rFonts w:ascii="Arial Narrow" w:cs="Arial Narrow" w:eastAsia="Arial Narrow" w:hAnsi="Arial Narrow"/>
          <w:sz w:val="21"/>
          <w:szCs w:val="21"/>
          <w:color w:val="auto"/>
        </w:rPr>
        <w:t xml:space="preserve">100~150 </w:t>
      </w:r>
      <w:r>
        <w:rPr>
          <w:rFonts w:ascii="宋体" w:cs="宋体" w:eastAsia="宋体" w:hAnsi="宋体"/>
          <w:sz w:val="21"/>
          <w:szCs w:val="21"/>
          <w:color w:val="auto"/>
        </w:rPr>
        <w:t>美元</w:t>
      </w:r>
      <w:r>
        <w:rPr>
          <w:rFonts w:ascii="Arial Narrow" w:cs="Arial Narrow" w:eastAsia="Arial Narrow" w:hAnsi="Arial Narrow"/>
          <w:sz w:val="21"/>
          <w:szCs w:val="21"/>
          <w:color w:val="auto"/>
        </w:rPr>
        <w:t>/</w:t>
      </w:r>
      <w:r>
        <w:rPr>
          <w:rFonts w:ascii="宋体" w:cs="宋体" w:eastAsia="宋体" w:hAnsi="宋体"/>
          <w:sz w:val="21"/>
          <w:szCs w:val="21"/>
          <w:color w:val="auto"/>
        </w:rPr>
        <w:t>周可满足生活基本消费。暑假期间为赴美高峰期，国际机票（含税）价格从</w:t>
      </w:r>
      <w:r>
        <w:rPr>
          <w:rFonts w:ascii="Arial Narrow" w:cs="Arial Narrow" w:eastAsia="Arial Narrow" w:hAnsi="Arial Narrow"/>
          <w:sz w:val="21"/>
          <w:szCs w:val="21"/>
          <w:color w:val="auto"/>
        </w:rPr>
        <w:t xml:space="preserve"> 10000 </w:t>
      </w:r>
      <w:r>
        <w:rPr>
          <w:rFonts w:ascii="宋体" w:cs="宋体" w:eastAsia="宋体" w:hAnsi="宋体"/>
          <w:sz w:val="21"/>
          <w:szCs w:val="21"/>
          <w:color w:val="auto"/>
        </w:rPr>
        <w:t>人民币到</w:t>
      </w:r>
      <w:r>
        <w:rPr>
          <w:rFonts w:ascii="Arial Narrow" w:cs="Arial Narrow" w:eastAsia="Arial Narrow" w:hAnsi="Arial Narrow"/>
          <w:sz w:val="21"/>
          <w:szCs w:val="21"/>
          <w:color w:val="auto"/>
        </w:rPr>
        <w:t xml:space="preserve"> 18000 </w:t>
      </w:r>
      <w:r>
        <w:rPr>
          <w:rFonts w:ascii="宋体" w:cs="宋体" w:eastAsia="宋体" w:hAnsi="宋体"/>
          <w:sz w:val="21"/>
          <w:szCs w:val="21"/>
          <w:color w:val="auto"/>
        </w:rPr>
        <w:t>人民币不等。</w:t>
      </w:r>
    </w:p>
    <w:p>
      <w:pPr>
        <w:spacing w:after="0" w:line="105" w:lineRule="exact"/>
        <w:rPr>
          <w:rFonts w:ascii="Wingdings" w:cs="Wingdings" w:eastAsia="Wingdings" w:hAnsi="Wingdings"/>
          <w:sz w:val="21"/>
          <w:szCs w:val="21"/>
          <w:b w:val="1"/>
          <w:bCs w:val="1"/>
          <w:color w:val="auto"/>
        </w:rPr>
      </w:pPr>
    </w:p>
    <w:p>
      <w:pPr>
        <w:ind w:left="1180" w:hanging="429"/>
        <w:spacing w:after="0" w:line="327" w:lineRule="exact"/>
        <w:tabs>
          <w:tab w:leader="none" w:pos="1180" w:val="left"/>
        </w:tabs>
        <w:numPr>
          <w:ilvl w:val="1"/>
          <w:numId w:val="13"/>
        </w:numPr>
        <w:rPr>
          <w:rFonts w:ascii="Wingdings" w:cs="Wingdings" w:eastAsia="Wingdings" w:hAnsi="Wingdings"/>
          <w:sz w:val="21"/>
          <w:szCs w:val="21"/>
          <w:b w:val="1"/>
          <w:bCs w:val="1"/>
          <w:color w:val="auto"/>
        </w:rPr>
      </w:pPr>
      <w:r>
        <w:rPr>
          <w:rFonts w:ascii="宋体" w:cs="宋体" w:eastAsia="宋体" w:hAnsi="宋体"/>
          <w:sz w:val="21"/>
          <w:szCs w:val="21"/>
          <w:color w:val="auto"/>
        </w:rPr>
        <w:t>尚未公布的</w:t>
      </w:r>
      <w:r>
        <w:rPr>
          <w:rFonts w:ascii="Arial Narrow" w:cs="Arial Narrow" w:eastAsia="Arial Narrow" w:hAnsi="Arial Narrow"/>
          <w:sz w:val="21"/>
          <w:szCs w:val="21"/>
          <w:color w:val="auto"/>
        </w:rPr>
        <w:t xml:space="preserve"> 2020 </w:t>
      </w:r>
      <w:r>
        <w:rPr>
          <w:rFonts w:ascii="宋体" w:cs="宋体" w:eastAsia="宋体" w:hAnsi="宋体"/>
          <w:sz w:val="21"/>
          <w:szCs w:val="21"/>
          <w:color w:val="auto"/>
        </w:rPr>
        <w:t>年春季及</w:t>
      </w:r>
      <w:r>
        <w:rPr>
          <w:rFonts w:ascii="Arial Narrow" w:cs="Arial Narrow" w:eastAsia="Arial Narrow" w:hAnsi="Arial Narrow"/>
          <w:sz w:val="21"/>
          <w:szCs w:val="21"/>
          <w:color w:val="auto"/>
        </w:rPr>
        <w:t xml:space="preserve"> 2020 </w:t>
      </w:r>
      <w:r>
        <w:rPr>
          <w:rFonts w:ascii="宋体" w:cs="宋体" w:eastAsia="宋体" w:hAnsi="宋体"/>
          <w:sz w:val="21"/>
          <w:szCs w:val="21"/>
          <w:color w:val="auto"/>
        </w:rPr>
        <w:t>年秋季项目费用，可以以</w:t>
      </w:r>
      <w:r>
        <w:rPr>
          <w:rFonts w:ascii="Arial Narrow" w:cs="Arial Narrow" w:eastAsia="Arial Narrow" w:hAnsi="Arial Narrow"/>
          <w:sz w:val="21"/>
          <w:szCs w:val="21"/>
          <w:color w:val="auto"/>
        </w:rPr>
        <w:t xml:space="preserve"> 2019 </w:t>
      </w:r>
      <w:r>
        <w:rPr>
          <w:rFonts w:ascii="宋体" w:cs="宋体" w:eastAsia="宋体" w:hAnsi="宋体"/>
          <w:sz w:val="21"/>
          <w:szCs w:val="21"/>
          <w:color w:val="auto"/>
        </w:rPr>
        <w:t>年秋季项目费用作为参考。一般项目费用会跟随海外大学学杂费的涨幅较前一年度有</w:t>
      </w:r>
      <w:r>
        <w:rPr>
          <w:rFonts w:ascii="Arial Narrow" w:cs="Arial Narrow" w:eastAsia="Arial Narrow" w:hAnsi="Arial Narrow"/>
          <w:sz w:val="21"/>
          <w:szCs w:val="21"/>
          <w:color w:val="auto"/>
        </w:rPr>
        <w:t xml:space="preserve"> 5%-10%</w:t>
      </w:r>
      <w:r>
        <w:rPr>
          <w:rFonts w:ascii="宋体" w:cs="宋体" w:eastAsia="宋体" w:hAnsi="宋体"/>
          <w:sz w:val="21"/>
          <w:szCs w:val="21"/>
          <w:color w:val="auto"/>
        </w:rPr>
        <w:t>的涨幅。</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七、</w:t>
      </w:r>
      <w:r>
        <w:rPr>
          <w:sz w:val="20"/>
          <w:szCs w:val="20"/>
          <w:color w:val="auto"/>
        </w:rPr>
        <w:tab/>
      </w:r>
      <w:r>
        <w:rPr>
          <w:rFonts w:ascii="宋体" w:cs="宋体" w:eastAsia="宋体" w:hAnsi="宋体"/>
          <w:sz w:val="20"/>
          <w:szCs w:val="20"/>
          <w:b w:val="1"/>
          <w:bCs w:val="1"/>
          <w:color w:val="auto"/>
        </w:rPr>
        <w:t>报名程序</w:t>
      </w:r>
    </w:p>
    <w:p>
      <w:pPr>
        <w:spacing w:after="0" w:line="200" w:lineRule="exact"/>
        <w:rPr>
          <w:sz w:val="20"/>
          <w:szCs w:val="20"/>
          <w:color w:val="auto"/>
        </w:rPr>
      </w:pPr>
    </w:p>
    <w:p>
      <w:pPr>
        <w:spacing w:after="0" w:line="278" w:lineRule="exact"/>
        <w:rPr>
          <w:sz w:val="20"/>
          <w:szCs w:val="20"/>
          <w:color w:val="auto"/>
        </w:rPr>
      </w:pPr>
    </w:p>
    <w:p>
      <w:pPr>
        <w:ind w:left="360"/>
        <w:spacing w:after="0" w:line="240" w:lineRule="exact"/>
        <w:rPr>
          <w:sz w:val="20"/>
          <w:szCs w:val="20"/>
          <w:color w:val="auto"/>
        </w:rPr>
      </w:pPr>
      <w:r>
        <w:rPr>
          <w:rFonts w:ascii="宋体" w:cs="宋体" w:eastAsia="宋体" w:hAnsi="宋体"/>
          <w:sz w:val="21"/>
          <w:szCs w:val="21"/>
          <w:b w:val="1"/>
          <w:bCs w:val="1"/>
          <w:color w:val="auto"/>
        </w:rPr>
        <w:t>常规学期项目报名条件</w:t>
      </w:r>
    </w:p>
    <w:p>
      <w:pPr>
        <w:spacing w:after="0" w:line="103" w:lineRule="exact"/>
        <w:rPr>
          <w:sz w:val="20"/>
          <w:szCs w:val="20"/>
          <w:color w:val="auto"/>
        </w:rPr>
      </w:pPr>
    </w:p>
    <w:p>
      <w:pPr>
        <w:ind w:left="720" w:hanging="360"/>
        <w:spacing w:after="0" w:line="274" w:lineRule="exact"/>
        <w:tabs>
          <w:tab w:leader="none" w:pos="720" w:val="left"/>
        </w:tabs>
        <w:numPr>
          <w:ilvl w:val="0"/>
          <w:numId w:val="14"/>
        </w:numPr>
        <w:rPr>
          <w:rFonts w:ascii="宋体" w:cs="宋体" w:eastAsia="宋体" w:hAnsi="宋体"/>
          <w:sz w:val="24"/>
          <w:szCs w:val="24"/>
          <w:color w:val="auto"/>
        </w:rPr>
      </w:pPr>
      <w:r>
        <w:rPr>
          <w:rFonts w:ascii="宋体" w:cs="宋体" w:eastAsia="宋体" w:hAnsi="宋体"/>
          <w:sz w:val="21"/>
          <w:szCs w:val="21"/>
          <w:color w:val="auto"/>
        </w:rPr>
        <w:t>在校全日制本科生或研究生</w:t>
      </w:r>
    </w:p>
    <w:p>
      <w:pPr>
        <w:spacing w:after="0" w:line="100" w:lineRule="exact"/>
        <w:rPr>
          <w:rFonts w:ascii="宋体" w:cs="宋体" w:eastAsia="宋体" w:hAnsi="宋体"/>
          <w:sz w:val="24"/>
          <w:szCs w:val="24"/>
          <w:color w:val="auto"/>
        </w:rPr>
      </w:pPr>
    </w:p>
    <w:p>
      <w:pPr>
        <w:ind w:left="720" w:hanging="360"/>
        <w:spacing w:after="0" w:line="285" w:lineRule="exact"/>
        <w:tabs>
          <w:tab w:leader="none" w:pos="720" w:val="left"/>
        </w:tabs>
        <w:numPr>
          <w:ilvl w:val="0"/>
          <w:numId w:val="14"/>
        </w:numPr>
        <w:rPr>
          <w:rFonts w:ascii="宋体" w:cs="宋体" w:eastAsia="宋体" w:hAnsi="宋体"/>
          <w:sz w:val="24"/>
          <w:szCs w:val="24"/>
          <w:color w:val="auto"/>
        </w:rPr>
      </w:pPr>
      <w:r>
        <w:rPr>
          <w:rFonts w:ascii="Arial Narrow" w:cs="Arial Narrow" w:eastAsia="Arial Narrow" w:hAnsi="Arial Narrow"/>
          <w:sz w:val="21"/>
          <w:szCs w:val="21"/>
          <w:color w:val="auto"/>
        </w:rPr>
        <w:t xml:space="preserve">GPA </w:t>
      </w:r>
      <w:r>
        <w:rPr>
          <w:rFonts w:ascii="宋体" w:cs="宋体" w:eastAsia="宋体" w:hAnsi="宋体"/>
          <w:sz w:val="21"/>
          <w:szCs w:val="21"/>
          <w:color w:val="auto"/>
        </w:rPr>
        <w:t>要求：</w:t>
      </w:r>
      <w:r>
        <w:rPr>
          <w:rFonts w:ascii="Arial Narrow" w:cs="Arial Narrow" w:eastAsia="Arial Narrow" w:hAnsi="Arial Narrow"/>
          <w:sz w:val="21"/>
          <w:szCs w:val="21"/>
          <w:color w:val="auto"/>
        </w:rPr>
        <w:t>3.0/4.0</w:t>
      </w:r>
    </w:p>
    <w:p>
      <w:pPr>
        <w:spacing w:after="0" w:line="75" w:lineRule="exact"/>
        <w:rPr>
          <w:rFonts w:ascii="宋体" w:cs="宋体" w:eastAsia="宋体" w:hAnsi="宋体"/>
          <w:sz w:val="24"/>
          <w:szCs w:val="24"/>
          <w:color w:val="auto"/>
        </w:rPr>
      </w:pPr>
    </w:p>
    <w:p>
      <w:pPr>
        <w:ind w:left="720" w:right="20" w:hanging="360"/>
        <w:spacing w:after="0" w:line="317" w:lineRule="exact"/>
        <w:tabs>
          <w:tab w:leader="none" w:pos="720" w:val="left"/>
        </w:tabs>
        <w:numPr>
          <w:ilvl w:val="0"/>
          <w:numId w:val="14"/>
        </w:numPr>
        <w:rPr>
          <w:rFonts w:ascii="宋体" w:cs="宋体" w:eastAsia="宋体" w:hAnsi="宋体"/>
          <w:sz w:val="24"/>
          <w:szCs w:val="24"/>
          <w:color w:val="auto"/>
        </w:rPr>
      </w:pPr>
      <w:r>
        <w:rPr>
          <w:rFonts w:ascii="宋体" w:cs="宋体" w:eastAsia="宋体" w:hAnsi="宋体"/>
          <w:sz w:val="21"/>
          <w:szCs w:val="21"/>
          <w:color w:val="auto"/>
        </w:rPr>
        <w:t>语言最低要求：托福（</w:t>
      </w:r>
      <w:r>
        <w:rPr>
          <w:rFonts w:ascii="Arial Narrow" w:cs="Arial Narrow" w:eastAsia="Arial Narrow" w:hAnsi="Arial Narrow"/>
          <w:sz w:val="21"/>
          <w:szCs w:val="21"/>
          <w:color w:val="auto"/>
        </w:rPr>
        <w:t>IBT</w:t>
      </w:r>
      <w:r>
        <w:rPr>
          <w:rFonts w:ascii="宋体" w:cs="宋体" w:eastAsia="宋体" w:hAnsi="宋体"/>
          <w:sz w:val="21"/>
          <w:szCs w:val="21"/>
          <w:color w:val="auto"/>
        </w:rPr>
        <w:t>）</w:t>
      </w:r>
      <w:r>
        <w:rPr>
          <w:rFonts w:ascii="Arial Narrow" w:cs="Arial Narrow" w:eastAsia="Arial Narrow" w:hAnsi="Arial Narrow"/>
          <w:sz w:val="21"/>
          <w:szCs w:val="21"/>
          <w:color w:val="auto"/>
        </w:rPr>
        <w:t xml:space="preserve">91 </w:t>
      </w:r>
      <w:r>
        <w:rPr>
          <w:rFonts w:ascii="宋体" w:cs="宋体" w:eastAsia="宋体" w:hAnsi="宋体"/>
          <w:sz w:val="21"/>
          <w:szCs w:val="21"/>
          <w:color w:val="auto"/>
        </w:rPr>
        <w:t>或雅思</w:t>
      </w:r>
      <w:r>
        <w:rPr>
          <w:rFonts w:ascii="Arial Narrow" w:cs="Arial Narrow" w:eastAsia="Arial Narrow" w:hAnsi="Arial Narrow"/>
          <w:sz w:val="21"/>
          <w:szCs w:val="21"/>
          <w:color w:val="auto"/>
        </w:rPr>
        <w:t xml:space="preserve"> 6.5</w:t>
      </w:r>
      <w:r>
        <w:rPr>
          <w:rFonts w:ascii="宋体" w:cs="宋体" w:eastAsia="宋体" w:hAnsi="宋体"/>
          <w:sz w:val="21"/>
          <w:szCs w:val="21"/>
          <w:color w:val="auto"/>
        </w:rPr>
        <w:t>（托福成绩</w:t>
      </w:r>
      <w:r>
        <w:rPr>
          <w:rFonts w:ascii="Arial Narrow" w:cs="Arial Narrow" w:eastAsia="Arial Narrow" w:hAnsi="Arial Narrow"/>
          <w:sz w:val="21"/>
          <w:szCs w:val="21"/>
          <w:color w:val="auto"/>
        </w:rPr>
        <w:t xml:space="preserve"> 91-99 </w:t>
      </w:r>
      <w:r>
        <w:rPr>
          <w:rFonts w:ascii="宋体" w:cs="宋体" w:eastAsia="宋体" w:hAnsi="宋体"/>
          <w:sz w:val="21"/>
          <w:szCs w:val="21"/>
          <w:color w:val="auto"/>
        </w:rPr>
        <w:t>分的同学需要修读一门语言课程，雅思总分</w:t>
      </w:r>
      <w:r>
        <w:rPr>
          <w:rFonts w:ascii="Arial Narrow" w:cs="Arial Narrow" w:eastAsia="Arial Narrow" w:hAnsi="Arial Narrow"/>
          <w:sz w:val="21"/>
          <w:szCs w:val="21"/>
          <w:color w:val="auto"/>
        </w:rPr>
        <w:t xml:space="preserve"> 6.5 </w:t>
      </w:r>
      <w:r>
        <w:rPr>
          <w:rFonts w:ascii="宋体" w:cs="宋体" w:eastAsia="宋体" w:hAnsi="宋体"/>
          <w:sz w:val="21"/>
          <w:szCs w:val="21"/>
          <w:color w:val="auto"/>
        </w:rPr>
        <w:t>则写作单项也必须达到</w:t>
      </w:r>
      <w:r>
        <w:rPr>
          <w:rFonts w:ascii="Arial Narrow" w:cs="Arial Narrow" w:eastAsia="Arial Narrow" w:hAnsi="Arial Narrow"/>
          <w:sz w:val="21"/>
          <w:szCs w:val="21"/>
          <w:color w:val="auto"/>
        </w:rPr>
        <w:t xml:space="preserve"> 6.5 </w:t>
      </w:r>
      <w:r>
        <w:rPr>
          <w:rFonts w:ascii="宋体" w:cs="宋体" w:eastAsia="宋体" w:hAnsi="宋体"/>
          <w:sz w:val="21"/>
          <w:szCs w:val="21"/>
          <w:color w:val="auto"/>
        </w:rPr>
        <w:t>否则无法申请，其余单项达不到</w:t>
      </w:r>
      <w:r>
        <w:rPr>
          <w:rFonts w:ascii="Arial Narrow" w:cs="Arial Narrow" w:eastAsia="Arial Narrow" w:hAnsi="Arial Narrow"/>
          <w:sz w:val="21"/>
          <w:szCs w:val="21"/>
          <w:color w:val="auto"/>
        </w:rPr>
        <w:t xml:space="preserve"> 6.5 </w:t>
      </w:r>
      <w:r>
        <w:rPr>
          <w:rFonts w:ascii="宋体" w:cs="宋体" w:eastAsia="宋体" w:hAnsi="宋体"/>
          <w:sz w:val="21"/>
          <w:szCs w:val="21"/>
          <w:color w:val="auto"/>
        </w:rPr>
        <w:t>也必须额外修读语言课）</w:t>
      </w:r>
    </w:p>
    <w:p>
      <w:pPr>
        <w:spacing w:after="0" w:line="84" w:lineRule="exact"/>
        <w:rPr>
          <w:rFonts w:ascii="宋体" w:cs="宋体" w:eastAsia="宋体" w:hAnsi="宋体"/>
          <w:sz w:val="24"/>
          <w:szCs w:val="24"/>
          <w:color w:val="auto"/>
        </w:rPr>
      </w:pPr>
    </w:p>
    <w:p>
      <w:pPr>
        <w:ind w:left="720" w:hanging="360"/>
        <w:spacing w:after="0" w:line="285" w:lineRule="exact"/>
        <w:tabs>
          <w:tab w:leader="none" w:pos="720" w:val="left"/>
        </w:tabs>
        <w:numPr>
          <w:ilvl w:val="0"/>
          <w:numId w:val="14"/>
        </w:numPr>
        <w:rPr>
          <w:rFonts w:ascii="宋体" w:cs="宋体" w:eastAsia="宋体" w:hAnsi="宋体"/>
          <w:sz w:val="24"/>
          <w:szCs w:val="24"/>
          <w:color w:val="auto"/>
        </w:rPr>
      </w:pPr>
      <w:r>
        <w:rPr>
          <w:rFonts w:ascii="宋体" w:cs="宋体" w:eastAsia="宋体" w:hAnsi="宋体"/>
          <w:sz w:val="21"/>
          <w:szCs w:val="21"/>
          <w:color w:val="auto"/>
        </w:rPr>
        <w:t>托福</w:t>
      </w:r>
      <w:r>
        <w:rPr>
          <w:rFonts w:ascii="Arial Narrow" w:cs="Arial Narrow" w:eastAsia="Arial Narrow" w:hAnsi="Arial Narrow"/>
          <w:sz w:val="21"/>
          <w:szCs w:val="21"/>
          <w:color w:val="auto"/>
        </w:rPr>
        <w:t xml:space="preserve"> 100 </w:t>
      </w:r>
      <w:r>
        <w:rPr>
          <w:rFonts w:ascii="宋体" w:cs="宋体" w:eastAsia="宋体" w:hAnsi="宋体"/>
          <w:sz w:val="21"/>
          <w:szCs w:val="21"/>
          <w:color w:val="auto"/>
        </w:rPr>
        <w:t>分雅思</w:t>
      </w:r>
      <w:r>
        <w:rPr>
          <w:rFonts w:ascii="Arial Narrow" w:cs="Arial Narrow" w:eastAsia="Arial Narrow" w:hAnsi="Arial Narrow"/>
          <w:sz w:val="21"/>
          <w:szCs w:val="21"/>
          <w:color w:val="auto"/>
        </w:rPr>
        <w:t xml:space="preserve"> 7 </w:t>
      </w:r>
      <w:r>
        <w:rPr>
          <w:rFonts w:ascii="宋体" w:cs="宋体" w:eastAsia="宋体" w:hAnsi="宋体"/>
          <w:sz w:val="21"/>
          <w:szCs w:val="21"/>
          <w:color w:val="auto"/>
        </w:rPr>
        <w:t>分无需加读语言课</w:t>
      </w:r>
    </w:p>
    <w:p>
      <w:pPr>
        <w:spacing w:after="0" w:line="200" w:lineRule="exact"/>
        <w:rPr>
          <w:sz w:val="20"/>
          <w:szCs w:val="20"/>
          <w:color w:val="auto"/>
        </w:rPr>
      </w:pPr>
    </w:p>
    <w:p>
      <w:pPr>
        <w:spacing w:after="0" w:line="217" w:lineRule="exact"/>
        <w:rPr>
          <w:sz w:val="20"/>
          <w:szCs w:val="20"/>
          <w:color w:val="auto"/>
        </w:rPr>
      </w:pPr>
    </w:p>
    <w:p>
      <w:pPr>
        <w:ind w:left="360"/>
        <w:spacing w:after="0" w:line="255" w:lineRule="exact"/>
        <w:rPr>
          <w:sz w:val="20"/>
          <w:szCs w:val="20"/>
          <w:color w:val="auto"/>
        </w:rPr>
      </w:pPr>
      <w:r>
        <w:rPr>
          <w:rFonts w:ascii="宋体" w:cs="宋体" w:eastAsia="宋体" w:hAnsi="宋体"/>
          <w:sz w:val="21"/>
          <w:szCs w:val="21"/>
          <w:color w:val="auto"/>
        </w:rPr>
        <w:t>报名截止日期：秋季及学年：</w:t>
      </w:r>
      <w:r>
        <w:rPr>
          <w:rFonts w:ascii="Arial Narrow" w:cs="Arial Narrow" w:eastAsia="Arial Narrow" w:hAnsi="Arial Narrow"/>
          <w:sz w:val="21"/>
          <w:szCs w:val="21"/>
          <w:color w:val="auto"/>
        </w:rPr>
        <w:t xml:space="preserve">5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19 </w:t>
      </w:r>
      <w:r>
        <w:rPr>
          <w:rFonts w:ascii="宋体" w:cs="宋体" w:eastAsia="宋体" w:hAnsi="宋体"/>
          <w:sz w:val="21"/>
          <w:szCs w:val="21"/>
          <w:color w:val="auto"/>
        </w:rPr>
        <w:t>日；冬季学期：</w:t>
      </w:r>
      <w:r>
        <w:rPr>
          <w:rFonts w:ascii="Arial Narrow" w:cs="Arial Narrow" w:eastAsia="Arial Narrow" w:hAnsi="Arial Narrow"/>
          <w:sz w:val="21"/>
          <w:szCs w:val="21"/>
          <w:color w:val="auto"/>
        </w:rPr>
        <w:t xml:space="preserve">10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23 </w:t>
      </w:r>
      <w:r>
        <w:rPr>
          <w:rFonts w:ascii="宋体" w:cs="宋体" w:eastAsia="宋体" w:hAnsi="宋体"/>
          <w:sz w:val="21"/>
          <w:szCs w:val="21"/>
          <w:color w:val="auto"/>
        </w:rPr>
        <w:t>日；春季学期：</w:t>
      </w:r>
      <w:r>
        <w:rPr>
          <w:rFonts w:ascii="Arial Narrow" w:cs="Arial Narrow" w:eastAsia="Arial Narrow" w:hAnsi="Arial Narrow"/>
          <w:sz w:val="21"/>
          <w:szCs w:val="21"/>
          <w:color w:val="auto"/>
        </w:rPr>
        <w:t xml:space="preserve">1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16 </w:t>
      </w:r>
      <w:r>
        <w:rPr>
          <w:rFonts w:ascii="宋体" w:cs="宋体" w:eastAsia="宋体" w:hAnsi="宋体"/>
          <w:sz w:val="21"/>
          <w:szCs w:val="2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0"/>
        <w:spacing w:after="0"/>
        <w:rPr>
          <w:sz w:val="20"/>
          <w:szCs w:val="20"/>
          <w:color w:val="auto"/>
        </w:rPr>
      </w:pPr>
      <w:r>
        <w:rPr>
          <w:rFonts w:ascii="Arial Narrow" w:cs="Arial Narrow" w:eastAsia="Arial Narrow" w:hAnsi="Arial Narrow"/>
          <w:sz w:val="18"/>
          <w:szCs w:val="18"/>
          <w:color w:val="auto"/>
        </w:rPr>
        <w:t>4</w:t>
      </w:r>
    </w:p>
    <w:p>
      <w:pPr>
        <w:sectPr>
          <w:pgSz w:w="11900" w:h="16838" w:orient="portrait"/>
          <w:cols w:equalWidth="0" w:num="1">
            <w:col w:w="9760"/>
          </w:cols>
          <w:pgMar w:left="1080" w:top="1440" w:right="1066" w:bottom="675"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line="240" w:lineRule="exact"/>
        <w:rPr>
          <w:sz w:val="20"/>
          <w:szCs w:val="20"/>
          <w:color w:val="auto"/>
        </w:rPr>
      </w:pPr>
      <w:r>
        <w:rPr>
          <w:rFonts w:ascii="宋体" w:cs="宋体" w:eastAsia="宋体" w:hAnsi="宋体"/>
          <w:sz w:val="21"/>
          <w:szCs w:val="21"/>
          <w:b w:val="1"/>
          <w:bCs w:val="1"/>
          <w:color w:val="auto"/>
        </w:rPr>
        <w:t>商科项目报名条件</w:t>
      </w:r>
    </w:p>
    <w:p>
      <w:pPr>
        <w:spacing w:after="0" w:line="103" w:lineRule="exact"/>
        <w:rPr>
          <w:sz w:val="20"/>
          <w:szCs w:val="20"/>
          <w:color w:val="auto"/>
        </w:rPr>
      </w:pPr>
    </w:p>
    <w:p>
      <w:pPr>
        <w:ind w:left="720" w:hanging="360"/>
        <w:spacing w:after="0" w:line="274" w:lineRule="exact"/>
        <w:tabs>
          <w:tab w:leader="none" w:pos="720" w:val="left"/>
        </w:tabs>
        <w:numPr>
          <w:ilvl w:val="0"/>
          <w:numId w:val="15"/>
        </w:numPr>
        <w:rPr>
          <w:rFonts w:ascii="宋体" w:cs="宋体" w:eastAsia="宋体" w:hAnsi="宋体"/>
          <w:sz w:val="24"/>
          <w:szCs w:val="24"/>
          <w:color w:val="auto"/>
        </w:rPr>
      </w:pPr>
      <w:r>
        <w:rPr>
          <w:rFonts w:ascii="宋体" w:cs="宋体" w:eastAsia="宋体" w:hAnsi="宋体"/>
          <w:sz w:val="21"/>
          <w:szCs w:val="21"/>
          <w:color w:val="auto"/>
        </w:rPr>
        <w:t>在校全日制本科大二以上学生或研究生</w:t>
      </w:r>
    </w:p>
    <w:p>
      <w:pPr>
        <w:spacing w:after="0" w:line="100" w:lineRule="exact"/>
        <w:rPr>
          <w:rFonts w:ascii="宋体" w:cs="宋体" w:eastAsia="宋体" w:hAnsi="宋体"/>
          <w:sz w:val="24"/>
          <w:szCs w:val="24"/>
          <w:color w:val="auto"/>
        </w:rPr>
      </w:pPr>
    </w:p>
    <w:p>
      <w:pPr>
        <w:ind w:left="720" w:hanging="360"/>
        <w:spacing w:after="0" w:line="285" w:lineRule="exact"/>
        <w:tabs>
          <w:tab w:leader="none" w:pos="720" w:val="left"/>
        </w:tabs>
        <w:numPr>
          <w:ilvl w:val="0"/>
          <w:numId w:val="15"/>
        </w:numPr>
        <w:rPr>
          <w:rFonts w:ascii="宋体" w:cs="宋体" w:eastAsia="宋体" w:hAnsi="宋体"/>
          <w:sz w:val="24"/>
          <w:szCs w:val="24"/>
          <w:color w:val="auto"/>
        </w:rPr>
      </w:pPr>
      <w:r>
        <w:rPr>
          <w:rFonts w:ascii="Arial Narrow" w:cs="Arial Narrow" w:eastAsia="Arial Narrow" w:hAnsi="Arial Narrow"/>
          <w:sz w:val="21"/>
          <w:szCs w:val="21"/>
          <w:color w:val="auto"/>
        </w:rPr>
        <w:t xml:space="preserve">GPA </w:t>
      </w:r>
      <w:r>
        <w:rPr>
          <w:rFonts w:ascii="宋体" w:cs="宋体" w:eastAsia="宋体" w:hAnsi="宋体"/>
          <w:sz w:val="21"/>
          <w:szCs w:val="21"/>
          <w:color w:val="auto"/>
        </w:rPr>
        <w:t>要求：</w:t>
      </w:r>
      <w:r>
        <w:rPr>
          <w:rFonts w:ascii="Arial Narrow" w:cs="Arial Narrow" w:eastAsia="Arial Narrow" w:hAnsi="Arial Narrow"/>
          <w:sz w:val="21"/>
          <w:szCs w:val="21"/>
          <w:color w:val="auto"/>
        </w:rPr>
        <w:t>2.75/4.0</w:t>
      </w:r>
    </w:p>
    <w:p>
      <w:pPr>
        <w:spacing w:after="0" w:line="75" w:lineRule="exact"/>
        <w:rPr>
          <w:rFonts w:ascii="宋体" w:cs="宋体" w:eastAsia="宋体" w:hAnsi="宋体"/>
          <w:sz w:val="24"/>
          <w:szCs w:val="24"/>
          <w:color w:val="auto"/>
        </w:rPr>
      </w:pPr>
    </w:p>
    <w:p>
      <w:pPr>
        <w:ind w:left="720" w:hanging="360"/>
        <w:spacing w:after="0" w:line="285" w:lineRule="exact"/>
        <w:tabs>
          <w:tab w:leader="none" w:pos="720" w:val="left"/>
        </w:tabs>
        <w:numPr>
          <w:ilvl w:val="0"/>
          <w:numId w:val="15"/>
        </w:numPr>
        <w:rPr>
          <w:rFonts w:ascii="宋体" w:cs="宋体" w:eastAsia="宋体" w:hAnsi="宋体"/>
          <w:sz w:val="24"/>
          <w:szCs w:val="24"/>
          <w:color w:val="auto"/>
        </w:rPr>
      </w:pPr>
      <w:r>
        <w:rPr>
          <w:rFonts w:ascii="宋体" w:cs="宋体" w:eastAsia="宋体" w:hAnsi="宋体"/>
          <w:sz w:val="21"/>
          <w:szCs w:val="21"/>
          <w:color w:val="auto"/>
        </w:rPr>
        <w:t>语言最低要求：托福（</w:t>
      </w:r>
      <w:r>
        <w:rPr>
          <w:rFonts w:ascii="Arial Narrow" w:cs="Arial Narrow" w:eastAsia="Arial Narrow" w:hAnsi="Arial Narrow"/>
          <w:sz w:val="21"/>
          <w:szCs w:val="21"/>
          <w:color w:val="auto"/>
        </w:rPr>
        <w:t>IBT</w:t>
      </w:r>
      <w:r>
        <w:rPr>
          <w:rFonts w:ascii="宋体" w:cs="宋体" w:eastAsia="宋体" w:hAnsi="宋体"/>
          <w:sz w:val="21"/>
          <w:szCs w:val="21"/>
          <w:color w:val="auto"/>
        </w:rPr>
        <w:t>）</w:t>
      </w:r>
      <w:r>
        <w:rPr>
          <w:rFonts w:ascii="Arial Narrow" w:cs="Arial Narrow" w:eastAsia="Arial Narrow" w:hAnsi="Arial Narrow"/>
          <w:sz w:val="21"/>
          <w:szCs w:val="21"/>
          <w:color w:val="auto"/>
        </w:rPr>
        <w:t xml:space="preserve">83 </w:t>
      </w:r>
      <w:r>
        <w:rPr>
          <w:rFonts w:ascii="宋体" w:cs="宋体" w:eastAsia="宋体" w:hAnsi="宋体"/>
          <w:sz w:val="21"/>
          <w:szCs w:val="21"/>
          <w:color w:val="auto"/>
        </w:rPr>
        <w:t>或雅思</w:t>
      </w:r>
      <w:r>
        <w:rPr>
          <w:rFonts w:ascii="Arial Narrow" w:cs="Arial Narrow" w:eastAsia="Arial Narrow" w:hAnsi="Arial Narrow"/>
          <w:sz w:val="21"/>
          <w:szCs w:val="21"/>
          <w:color w:val="auto"/>
        </w:rPr>
        <w:t xml:space="preserve"> 6.5 </w:t>
      </w:r>
      <w:r>
        <w:rPr>
          <w:rFonts w:ascii="宋体" w:cs="宋体" w:eastAsia="宋体" w:hAnsi="宋体"/>
          <w:sz w:val="21"/>
          <w:szCs w:val="21"/>
          <w:color w:val="auto"/>
        </w:rPr>
        <w:t>四级</w:t>
      </w:r>
      <w:r>
        <w:rPr>
          <w:rFonts w:ascii="Arial Narrow" w:cs="Arial Narrow" w:eastAsia="Arial Narrow" w:hAnsi="Arial Narrow"/>
          <w:sz w:val="21"/>
          <w:szCs w:val="21"/>
          <w:color w:val="auto"/>
        </w:rPr>
        <w:t xml:space="preserve"> 496</w:t>
      </w:r>
    </w:p>
    <w:p>
      <w:pPr>
        <w:spacing w:after="0" w:line="200" w:lineRule="exact"/>
        <w:rPr>
          <w:sz w:val="20"/>
          <w:szCs w:val="20"/>
          <w:color w:val="auto"/>
        </w:rPr>
      </w:pPr>
    </w:p>
    <w:p>
      <w:pPr>
        <w:spacing w:after="0" w:line="217" w:lineRule="exact"/>
        <w:rPr>
          <w:sz w:val="20"/>
          <w:szCs w:val="20"/>
          <w:color w:val="auto"/>
        </w:rPr>
      </w:pPr>
    </w:p>
    <w:p>
      <w:pPr>
        <w:ind w:left="360"/>
        <w:spacing w:after="0" w:line="255" w:lineRule="exact"/>
        <w:rPr>
          <w:sz w:val="20"/>
          <w:szCs w:val="20"/>
          <w:color w:val="auto"/>
        </w:rPr>
      </w:pPr>
      <w:r>
        <w:rPr>
          <w:rFonts w:ascii="宋体" w:cs="宋体" w:eastAsia="宋体" w:hAnsi="宋体"/>
          <w:sz w:val="21"/>
          <w:szCs w:val="21"/>
          <w:color w:val="auto"/>
        </w:rPr>
        <w:t>报名截止日期：冬季学期：</w:t>
      </w:r>
      <w:r>
        <w:rPr>
          <w:rFonts w:ascii="Arial Narrow" w:cs="Arial Narrow" w:eastAsia="Arial Narrow" w:hAnsi="Arial Narrow"/>
          <w:sz w:val="21"/>
          <w:szCs w:val="21"/>
          <w:color w:val="auto"/>
        </w:rPr>
        <w:t xml:space="preserve">10 </w:t>
      </w:r>
      <w:r>
        <w:rPr>
          <w:rFonts w:ascii="宋体" w:cs="宋体" w:eastAsia="宋体" w:hAnsi="宋体"/>
          <w:sz w:val="21"/>
          <w:szCs w:val="21"/>
          <w:color w:val="auto"/>
        </w:rPr>
        <w:t>月</w:t>
      </w:r>
      <w:r>
        <w:rPr>
          <w:rFonts w:ascii="Arial Narrow" w:cs="Arial Narrow" w:eastAsia="Arial Narrow" w:hAnsi="Arial Narrow"/>
          <w:sz w:val="21"/>
          <w:szCs w:val="21"/>
          <w:color w:val="auto"/>
        </w:rPr>
        <w:t xml:space="preserve"> 23 </w:t>
      </w:r>
      <w:r>
        <w:rPr>
          <w:rFonts w:ascii="宋体" w:cs="宋体" w:eastAsia="宋体" w:hAnsi="宋体"/>
          <w:sz w:val="21"/>
          <w:szCs w:val="2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60" w:hanging="360"/>
        <w:spacing w:after="0" w:line="255" w:lineRule="exact"/>
        <w:tabs>
          <w:tab w:leader="none" w:pos="360" w:val="left"/>
        </w:tabs>
        <w:numPr>
          <w:ilvl w:val="0"/>
          <w:numId w:val="16"/>
        </w:numPr>
        <w:rPr>
          <w:rFonts w:ascii="Arial Narrow" w:cs="Arial Narrow" w:eastAsia="Arial Narrow" w:hAnsi="Arial Narrow"/>
          <w:sz w:val="21"/>
          <w:szCs w:val="21"/>
          <w:color w:val="auto"/>
        </w:rPr>
      </w:pPr>
      <w:r>
        <w:rPr>
          <w:rFonts w:ascii="宋体" w:cs="宋体" w:eastAsia="宋体" w:hAnsi="宋体"/>
          <w:sz w:val="21"/>
          <w:szCs w:val="21"/>
          <w:color w:val="auto"/>
        </w:rPr>
        <w:t>项目流程及申请流程</w:t>
      </w:r>
    </w:p>
    <w:p>
      <w:pPr>
        <w:spacing w:after="0" w:line="119" w:lineRule="exact"/>
        <w:rPr>
          <w:rFonts w:ascii="Arial Narrow" w:cs="Arial Narrow" w:eastAsia="Arial Narrow" w:hAnsi="Arial Narrow"/>
          <w:sz w:val="21"/>
          <w:szCs w:val="21"/>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学生联系</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国际项目办公室，了解项目具体情况；</w:t>
      </w:r>
    </w:p>
    <w:p>
      <w:pPr>
        <w:spacing w:after="0" w:line="57"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根据学生的专业及其他要求初步确定意向交流的学校、专业，填写报名表；</w:t>
      </w:r>
    </w:p>
    <w:p>
      <w:pPr>
        <w:spacing w:after="0" w:line="86"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依据各大学的要求及自身的需求，选择参加语言考试（如雅思、托福）；</w:t>
      </w:r>
    </w:p>
    <w:p>
      <w:pPr>
        <w:spacing w:after="0" w:line="83"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获得语言成绩后，再次确定最终申请交流的大学、专业及课程计划；</w:t>
      </w:r>
    </w:p>
    <w:p>
      <w:pPr>
        <w:spacing w:after="0" w:line="86"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学生准备申请材料；</w:t>
      </w:r>
    </w:p>
    <w:p>
      <w:pPr>
        <w:spacing w:after="0" w:line="100" w:lineRule="exact"/>
        <w:rPr>
          <w:rFonts w:ascii="宋体" w:cs="宋体" w:eastAsia="宋体" w:hAnsi="宋体"/>
          <w:sz w:val="24"/>
          <w:szCs w:val="24"/>
          <w:color w:val="auto"/>
        </w:rPr>
      </w:pPr>
    </w:p>
    <w:p>
      <w:pPr>
        <w:ind w:left="720" w:hanging="360"/>
        <w:spacing w:after="0" w:line="273" w:lineRule="exact"/>
        <w:tabs>
          <w:tab w:leader="none" w:pos="720" w:val="left"/>
        </w:tabs>
        <w:numPr>
          <w:ilvl w:val="1"/>
          <w:numId w:val="16"/>
        </w:numPr>
        <w:rPr>
          <w:rFonts w:ascii="宋体" w:cs="宋体" w:eastAsia="宋体" w:hAnsi="宋体"/>
          <w:sz w:val="23"/>
          <w:szCs w:val="23"/>
          <w:color w:val="auto"/>
        </w:rPr>
      </w:pPr>
      <w:r>
        <w:rPr>
          <w:rFonts w:ascii="宋体" w:cs="宋体" w:eastAsia="宋体" w:hAnsi="宋体"/>
          <w:sz w:val="20"/>
          <w:szCs w:val="20"/>
          <w:color w:val="auto"/>
        </w:rPr>
        <w:t>申请材料准备齐全，并在申请截止日期前网申递交至</w:t>
      </w:r>
      <w:r>
        <w:rPr>
          <w:rFonts w:ascii="Arial Narrow" w:cs="Arial Narrow" w:eastAsia="Arial Narrow" w:hAnsi="Arial Narrow"/>
          <w:sz w:val="20"/>
          <w:szCs w:val="20"/>
          <w:color w:val="auto"/>
        </w:rPr>
        <w:t xml:space="preserve">SAF </w:t>
      </w:r>
      <w:r>
        <w:rPr>
          <w:rFonts w:ascii="宋体" w:cs="宋体" w:eastAsia="宋体" w:hAnsi="宋体"/>
          <w:sz w:val="20"/>
          <w:szCs w:val="20"/>
          <w:color w:val="auto"/>
        </w:rPr>
        <w:t>海外学习基金会，由</w:t>
      </w:r>
      <w:r>
        <w:rPr>
          <w:rFonts w:ascii="Arial Narrow" w:cs="Arial Narrow" w:eastAsia="Arial Narrow" w:hAnsi="Arial Narrow"/>
          <w:sz w:val="20"/>
          <w:szCs w:val="20"/>
          <w:color w:val="auto"/>
        </w:rPr>
        <w:t xml:space="preserve">SAF </w:t>
      </w:r>
      <w:r>
        <w:rPr>
          <w:rFonts w:ascii="宋体" w:cs="宋体" w:eastAsia="宋体" w:hAnsi="宋体"/>
          <w:sz w:val="20"/>
          <w:szCs w:val="20"/>
          <w:color w:val="auto"/>
        </w:rPr>
        <w:t>递交至美国大学。</w:t>
      </w:r>
    </w:p>
    <w:p>
      <w:pPr>
        <w:spacing w:after="0" w:line="87" w:lineRule="exact"/>
        <w:rPr>
          <w:rFonts w:ascii="宋体" w:cs="宋体" w:eastAsia="宋体" w:hAnsi="宋体"/>
          <w:sz w:val="23"/>
          <w:szCs w:val="23"/>
          <w:color w:val="auto"/>
        </w:rPr>
      </w:pPr>
    </w:p>
    <w:p>
      <w:pPr>
        <w:ind w:left="720" w:hanging="360"/>
        <w:spacing w:after="0" w:line="299"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获得录取通知书后，根据</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老师及我校老师的指导完成签证、行前准备、校内流程等手续，顺利赴美进行学习。</w:t>
      </w:r>
    </w:p>
    <w:p>
      <w:pPr>
        <w:spacing w:after="0" w:line="200" w:lineRule="exact"/>
        <w:rPr>
          <w:rFonts w:ascii="宋体" w:cs="宋体" w:eastAsia="宋体" w:hAnsi="宋体"/>
          <w:sz w:val="24"/>
          <w:szCs w:val="24"/>
          <w:color w:val="auto"/>
        </w:rPr>
      </w:pPr>
    </w:p>
    <w:p>
      <w:pPr>
        <w:spacing w:after="0" w:line="264" w:lineRule="exact"/>
        <w:rPr>
          <w:rFonts w:ascii="宋体" w:cs="宋体" w:eastAsia="宋体" w:hAnsi="宋体"/>
          <w:sz w:val="24"/>
          <w:szCs w:val="24"/>
          <w:color w:val="auto"/>
        </w:rPr>
      </w:pPr>
    </w:p>
    <w:p>
      <w:pPr>
        <w:ind w:left="360" w:hanging="360"/>
        <w:spacing w:after="0" w:line="255" w:lineRule="exact"/>
        <w:tabs>
          <w:tab w:leader="none" w:pos="360" w:val="left"/>
        </w:tabs>
        <w:numPr>
          <w:ilvl w:val="0"/>
          <w:numId w:val="16"/>
        </w:numPr>
        <w:rPr>
          <w:rFonts w:ascii="Arial Narrow" w:cs="Arial Narrow" w:eastAsia="Arial Narrow" w:hAnsi="Arial Narrow"/>
          <w:sz w:val="21"/>
          <w:szCs w:val="21"/>
          <w:color w:val="auto"/>
        </w:rPr>
      </w:pPr>
      <w:r>
        <w:rPr>
          <w:rFonts w:ascii="宋体" w:cs="宋体" w:eastAsia="宋体" w:hAnsi="宋体"/>
          <w:sz w:val="21"/>
          <w:szCs w:val="21"/>
          <w:color w:val="auto"/>
        </w:rPr>
        <w:t>报名材料</w:t>
      </w:r>
    </w:p>
    <w:p>
      <w:pPr>
        <w:spacing w:after="0" w:line="200" w:lineRule="exact"/>
        <w:rPr>
          <w:rFonts w:ascii="Arial Narrow" w:cs="Arial Narrow" w:eastAsia="Arial Narrow" w:hAnsi="Arial Narrow"/>
          <w:sz w:val="21"/>
          <w:szCs w:val="21"/>
          <w:color w:val="auto"/>
        </w:rPr>
      </w:pPr>
    </w:p>
    <w:p>
      <w:pPr>
        <w:spacing w:after="0" w:line="276" w:lineRule="exact"/>
        <w:rPr>
          <w:rFonts w:ascii="Arial Narrow" w:cs="Arial Narrow" w:eastAsia="Arial Narrow" w:hAnsi="Arial Narrow"/>
          <w:sz w:val="21"/>
          <w:szCs w:val="21"/>
          <w:color w:val="auto"/>
        </w:rPr>
      </w:pPr>
    </w:p>
    <w:p>
      <w:pPr>
        <w:ind w:left="720" w:hanging="360"/>
        <w:spacing w:after="0" w:line="285" w:lineRule="exact"/>
        <w:tabs>
          <w:tab w:leader="none" w:pos="720" w:val="left"/>
        </w:tabs>
        <w:numPr>
          <w:ilvl w:val="1"/>
          <w:numId w:val="16"/>
        </w:numPr>
        <w:rPr>
          <w:rFonts w:ascii="Arial Narrow" w:cs="Arial Narrow" w:eastAsia="Arial Narrow" w:hAnsi="Arial Narrow"/>
          <w:sz w:val="21"/>
          <w:szCs w:val="21"/>
          <w:color w:val="0000FF"/>
        </w:rPr>
      </w:pPr>
      <w:hyperlink r:id="rId15"/>
      <w:r>
        <w:rPr>
          <w:rFonts w:ascii="宋体" w:cs="宋体" w:eastAsia="宋体" w:hAnsi="宋体"/>
          <w:sz w:val="21"/>
          <w:szCs w:val="21"/>
          <w:color w:val="000000"/>
        </w:rPr>
        <w:t>网申表格（网申链接：</w:t>
      </w:r>
      <w:hyperlink r:id="rId15">
        <w:r>
          <w:rPr>
            <w:rFonts w:ascii="Arial Narrow" w:cs="Arial Narrow" w:eastAsia="Arial Narrow" w:hAnsi="Arial Narrow"/>
            <w:sz w:val="21"/>
            <w:szCs w:val="21"/>
            <w:u w:val="single" w:color="auto"/>
            <w:color w:val="0000FF"/>
          </w:rPr>
          <w:t>https://sisfbrenderer-100287.campusnet.net/#/renderer/14</w:t>
        </w:r>
      </w:hyperlink>
      <w:r>
        <w:rPr>
          <w:rFonts w:ascii="宋体" w:cs="宋体" w:eastAsia="宋体" w:hAnsi="宋体"/>
          <w:sz w:val="21"/>
          <w:szCs w:val="21"/>
          <w:color w:val="000000"/>
        </w:rPr>
        <w:t>）</w:t>
      </w:r>
    </w:p>
    <w:p>
      <w:pPr>
        <w:spacing w:after="0" w:line="59" w:lineRule="exact"/>
        <w:rPr>
          <w:rFonts w:ascii="Arial Narrow" w:cs="Arial Narrow" w:eastAsia="Arial Narrow" w:hAnsi="Arial Narrow"/>
          <w:sz w:val="21"/>
          <w:szCs w:val="21"/>
          <w:color w:val="0000FF"/>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托福或雅思成绩</w:t>
      </w:r>
    </w:p>
    <w:p>
      <w:pPr>
        <w:spacing w:after="0" w:line="100" w:lineRule="exact"/>
        <w:rPr>
          <w:rFonts w:ascii="宋体" w:cs="宋体" w:eastAsia="宋体" w:hAnsi="宋体"/>
          <w:sz w:val="24"/>
          <w:szCs w:val="24"/>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Arial Narrow" w:cs="Arial Narrow" w:eastAsia="Arial Narrow" w:hAnsi="Arial Narrow"/>
          <w:sz w:val="21"/>
          <w:szCs w:val="21"/>
          <w:color w:val="auto"/>
        </w:rPr>
        <w:t xml:space="preserve">1 </w:t>
      </w:r>
      <w:r>
        <w:rPr>
          <w:rFonts w:ascii="宋体" w:cs="宋体" w:eastAsia="宋体" w:hAnsi="宋体"/>
          <w:sz w:val="21"/>
          <w:szCs w:val="21"/>
          <w:color w:val="auto"/>
        </w:rPr>
        <w:t>份中英文版在校成绩单</w:t>
      </w:r>
    </w:p>
    <w:p>
      <w:pPr>
        <w:spacing w:after="0" w:line="75" w:lineRule="exact"/>
        <w:rPr>
          <w:rFonts w:ascii="宋体" w:cs="宋体" w:eastAsia="宋体" w:hAnsi="宋体"/>
          <w:sz w:val="24"/>
          <w:szCs w:val="24"/>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Arial Narrow" w:cs="Arial Narrow" w:eastAsia="Arial Narrow" w:hAnsi="Arial Narrow"/>
          <w:sz w:val="21"/>
          <w:szCs w:val="21"/>
          <w:color w:val="auto"/>
        </w:rPr>
        <w:t xml:space="preserve">2 </w:t>
      </w:r>
      <w:r>
        <w:rPr>
          <w:rFonts w:ascii="宋体" w:cs="宋体" w:eastAsia="宋体" w:hAnsi="宋体"/>
          <w:sz w:val="21"/>
          <w:szCs w:val="21"/>
          <w:color w:val="auto"/>
        </w:rPr>
        <w:t>份老师推荐信</w:t>
      </w:r>
    </w:p>
    <w:p>
      <w:pPr>
        <w:spacing w:after="0" w:line="57"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有效护照复印件</w:t>
      </w:r>
    </w:p>
    <w:p>
      <w:pPr>
        <w:spacing w:after="0" w:line="102" w:lineRule="exact"/>
        <w:rPr>
          <w:rFonts w:ascii="宋体" w:cs="宋体" w:eastAsia="宋体" w:hAnsi="宋体"/>
          <w:sz w:val="24"/>
          <w:szCs w:val="24"/>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Arial Narrow" w:cs="Arial Narrow" w:eastAsia="Arial Narrow" w:hAnsi="Arial Narrow"/>
          <w:sz w:val="21"/>
          <w:szCs w:val="21"/>
          <w:color w:val="auto"/>
        </w:rPr>
        <w:t xml:space="preserve">2 </w:t>
      </w:r>
      <w:r>
        <w:rPr>
          <w:rFonts w:ascii="宋体" w:cs="宋体" w:eastAsia="宋体" w:hAnsi="宋体"/>
          <w:sz w:val="21"/>
          <w:szCs w:val="21"/>
          <w:color w:val="auto"/>
        </w:rPr>
        <w:t>寸照片</w:t>
      </w:r>
    </w:p>
    <w:p>
      <w:pPr>
        <w:spacing w:after="0" w:line="73" w:lineRule="exact"/>
        <w:rPr>
          <w:rFonts w:ascii="宋体" w:cs="宋体" w:eastAsia="宋体" w:hAnsi="宋体"/>
          <w:sz w:val="24"/>
          <w:szCs w:val="24"/>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Arial Narrow" w:cs="Arial Narrow" w:eastAsia="Arial Narrow" w:hAnsi="Arial Narrow"/>
          <w:sz w:val="21"/>
          <w:szCs w:val="21"/>
          <w:color w:val="auto"/>
        </w:rPr>
        <w:t xml:space="preserve">1 </w:t>
      </w:r>
      <w:r>
        <w:rPr>
          <w:rFonts w:ascii="宋体" w:cs="宋体" w:eastAsia="宋体" w:hAnsi="宋体"/>
          <w:sz w:val="21"/>
          <w:szCs w:val="21"/>
          <w:color w:val="auto"/>
        </w:rPr>
        <w:t>份银行存款证明</w:t>
      </w:r>
    </w:p>
    <w:p>
      <w:pPr>
        <w:spacing w:after="0" w:line="75" w:lineRule="exact"/>
        <w:rPr>
          <w:rFonts w:ascii="宋体" w:cs="宋体" w:eastAsia="宋体" w:hAnsi="宋体"/>
          <w:sz w:val="24"/>
          <w:szCs w:val="24"/>
          <w:color w:val="auto"/>
        </w:rPr>
      </w:pPr>
    </w:p>
    <w:p>
      <w:pPr>
        <w:ind w:left="720" w:hanging="360"/>
        <w:spacing w:after="0" w:line="285" w:lineRule="exact"/>
        <w:tabs>
          <w:tab w:leader="none" w:pos="720" w:val="left"/>
        </w:tabs>
        <w:numPr>
          <w:ilvl w:val="1"/>
          <w:numId w:val="16"/>
        </w:numPr>
        <w:rPr>
          <w:rFonts w:ascii="宋体" w:cs="宋体" w:eastAsia="宋体" w:hAnsi="宋体"/>
          <w:sz w:val="24"/>
          <w:szCs w:val="24"/>
          <w:color w:val="auto"/>
        </w:rPr>
      </w:pPr>
      <w:r>
        <w:rPr>
          <w:rFonts w:ascii="Arial Narrow" w:cs="Arial Narrow" w:eastAsia="Arial Narrow" w:hAnsi="Arial Narrow"/>
          <w:sz w:val="21"/>
          <w:szCs w:val="21"/>
          <w:color w:val="auto"/>
        </w:rPr>
        <w:t xml:space="preserve">2750 </w:t>
      </w:r>
      <w:r>
        <w:rPr>
          <w:rFonts w:ascii="宋体" w:cs="宋体" w:eastAsia="宋体" w:hAnsi="宋体"/>
          <w:sz w:val="21"/>
          <w:szCs w:val="21"/>
          <w:color w:val="auto"/>
        </w:rPr>
        <w:t>美金定金</w:t>
      </w:r>
    </w:p>
    <w:p>
      <w:pPr>
        <w:spacing w:after="0" w:line="57"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按时到校保证函</w:t>
      </w:r>
    </w:p>
    <w:p>
      <w:pPr>
        <w:spacing w:after="0" w:line="86"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个人陈述</w:t>
      </w:r>
    </w:p>
    <w:p>
      <w:pPr>
        <w:spacing w:after="0" w:line="83"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学习计划</w:t>
      </w:r>
    </w:p>
    <w:p>
      <w:pPr>
        <w:spacing w:after="0" w:line="86" w:lineRule="exact"/>
        <w:rPr>
          <w:rFonts w:ascii="宋体" w:cs="宋体" w:eastAsia="宋体" w:hAnsi="宋体"/>
          <w:sz w:val="24"/>
          <w:szCs w:val="24"/>
          <w:color w:val="auto"/>
        </w:rPr>
      </w:pPr>
    </w:p>
    <w:p>
      <w:pPr>
        <w:ind w:left="720" w:hanging="360"/>
        <w:spacing w:after="0" w:line="274" w:lineRule="exact"/>
        <w:tabs>
          <w:tab w:leader="none" w:pos="720" w:val="left"/>
        </w:tabs>
        <w:numPr>
          <w:ilvl w:val="1"/>
          <w:numId w:val="16"/>
        </w:numPr>
        <w:rPr>
          <w:rFonts w:ascii="宋体" w:cs="宋体" w:eastAsia="宋体" w:hAnsi="宋体"/>
          <w:sz w:val="24"/>
          <w:szCs w:val="24"/>
          <w:color w:val="auto"/>
        </w:rPr>
      </w:pPr>
      <w:r>
        <w:rPr>
          <w:rFonts w:ascii="宋体" w:cs="宋体" w:eastAsia="宋体" w:hAnsi="宋体"/>
          <w:sz w:val="21"/>
          <w:szCs w:val="21"/>
          <w:color w:val="auto"/>
        </w:rPr>
        <w:t>经济支持函</w:t>
      </w:r>
    </w:p>
    <w:p>
      <w:pPr>
        <w:spacing w:after="0" w:line="200" w:lineRule="exact"/>
        <w:rPr>
          <w:rFonts w:ascii="宋体" w:cs="宋体" w:eastAsia="宋体" w:hAnsi="宋体"/>
          <w:sz w:val="24"/>
          <w:szCs w:val="24"/>
          <w:color w:val="auto"/>
        </w:rPr>
      </w:pPr>
    </w:p>
    <w:p>
      <w:pPr>
        <w:spacing w:after="0" w:line="261" w:lineRule="exact"/>
        <w:rPr>
          <w:rFonts w:ascii="宋体" w:cs="宋体" w:eastAsia="宋体" w:hAnsi="宋体"/>
          <w:sz w:val="24"/>
          <w:szCs w:val="24"/>
          <w:color w:val="auto"/>
        </w:rPr>
      </w:pPr>
    </w:p>
    <w:p>
      <w:pPr>
        <w:ind w:left="360"/>
        <w:spacing w:after="0" w:line="240" w:lineRule="exact"/>
        <w:rPr>
          <w:sz w:val="20"/>
          <w:szCs w:val="20"/>
          <w:color w:val="auto"/>
        </w:rPr>
      </w:pPr>
      <w:r>
        <w:rPr>
          <w:rFonts w:ascii="宋体" w:cs="宋体" w:eastAsia="宋体" w:hAnsi="宋体"/>
          <w:sz w:val="21"/>
          <w:szCs w:val="21"/>
          <w:color w:val="auto"/>
        </w:rPr>
        <w:t>注：</w:t>
      </w:r>
    </w:p>
    <w:p>
      <w:pPr>
        <w:spacing w:after="0" w:line="148" w:lineRule="exact"/>
        <w:rPr>
          <w:rFonts w:ascii="宋体" w:cs="宋体" w:eastAsia="宋体" w:hAnsi="宋体"/>
          <w:sz w:val="24"/>
          <w:szCs w:val="24"/>
          <w:color w:val="auto"/>
        </w:rPr>
      </w:pPr>
    </w:p>
    <w:p>
      <w:pPr>
        <w:ind w:left="780" w:hanging="420"/>
        <w:spacing w:after="0" w:line="284" w:lineRule="exact"/>
        <w:tabs>
          <w:tab w:leader="none" w:pos="780" w:val="left"/>
        </w:tabs>
        <w:numPr>
          <w:ilvl w:val="0"/>
          <w:numId w:val="17"/>
        </w:numPr>
        <w:rPr>
          <w:rFonts w:ascii="Wingdings" w:cs="Wingdings" w:eastAsia="Wingdings" w:hAnsi="Wingdings"/>
          <w:sz w:val="21"/>
          <w:szCs w:val="21"/>
          <w:b w:val="1"/>
          <w:bCs w:val="1"/>
          <w:color w:val="auto"/>
        </w:rPr>
      </w:pPr>
      <w:r>
        <w:rPr>
          <w:rFonts w:ascii="宋体" w:cs="宋体" w:eastAsia="宋体" w:hAnsi="宋体"/>
          <w:sz w:val="21"/>
          <w:szCs w:val="21"/>
          <w:color w:val="auto"/>
        </w:rPr>
        <w:t>建议同学提前开具中英文成绩单、准备护照、并通过选课链接查看自己意向课程，以便缩短申请材料准备时间；</w:t>
      </w:r>
    </w:p>
    <w:p>
      <w:pPr>
        <w:spacing w:after="0" w:line="203" w:lineRule="exact"/>
        <w:rPr>
          <w:rFonts w:ascii="宋体" w:cs="宋体" w:eastAsia="宋体" w:hAnsi="宋体"/>
          <w:sz w:val="24"/>
          <w:szCs w:val="24"/>
          <w:color w:val="auto"/>
        </w:rPr>
      </w:pPr>
    </w:p>
    <w:p>
      <w:pPr>
        <w:jc w:val="center"/>
        <w:ind w:right="20"/>
        <w:spacing w:after="0"/>
        <w:rPr>
          <w:sz w:val="20"/>
          <w:szCs w:val="20"/>
          <w:color w:val="auto"/>
        </w:rPr>
      </w:pPr>
      <w:r>
        <w:rPr>
          <w:rFonts w:ascii="Arial Narrow" w:cs="Arial Narrow" w:eastAsia="Arial Narrow" w:hAnsi="Arial Narrow"/>
          <w:sz w:val="18"/>
          <w:szCs w:val="18"/>
          <w:color w:val="auto"/>
        </w:rPr>
        <w:t>5</w:t>
      </w:r>
    </w:p>
    <w:p>
      <w:pPr>
        <w:sectPr>
          <w:pgSz w:w="11900" w:h="16838" w:orient="portrait"/>
          <w:cols w:equalWidth="0" w:num="1">
            <w:col w:w="9760"/>
          </w:cols>
          <w:pgMar w:left="1080" w:top="1440" w:right="1066" w:bottom="675"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667385</wp:posOffset>
            </wp:positionH>
            <wp:positionV relativeFrom="page">
              <wp:posOffset>541020</wp:posOffset>
            </wp:positionV>
            <wp:extent cx="6225540" cy="9493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225540" cy="949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780" w:hanging="420"/>
        <w:spacing w:after="0" w:line="255" w:lineRule="exact"/>
        <w:tabs>
          <w:tab w:leader="none" w:pos="780" w:val="left"/>
        </w:tabs>
        <w:numPr>
          <w:ilvl w:val="0"/>
          <w:numId w:val="18"/>
        </w:numPr>
        <w:rPr>
          <w:rFonts w:ascii="Wingdings" w:cs="Wingdings" w:eastAsia="Wingdings" w:hAnsi="Wingdings"/>
          <w:sz w:val="21"/>
          <w:szCs w:val="21"/>
          <w:b w:val="1"/>
          <w:bCs w:val="1"/>
          <w:color w:val="auto"/>
        </w:rPr>
      </w:pPr>
      <w:r>
        <w:rPr>
          <w:rFonts w:ascii="宋体" w:cs="宋体" w:eastAsia="宋体" w:hAnsi="宋体"/>
          <w:sz w:val="21"/>
          <w:szCs w:val="21"/>
          <w:color w:val="auto"/>
        </w:rPr>
        <w:t>申请材料详情请联系</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指导老师进行确认</w:t>
      </w:r>
    </w:p>
    <w:p>
      <w:pPr>
        <w:spacing w:after="0" w:line="105" w:lineRule="exact"/>
        <w:rPr>
          <w:rFonts w:ascii="Wingdings" w:cs="Wingdings" w:eastAsia="Wingdings" w:hAnsi="Wingdings"/>
          <w:sz w:val="21"/>
          <w:szCs w:val="21"/>
          <w:b w:val="1"/>
          <w:bCs w:val="1"/>
          <w:color w:val="auto"/>
        </w:rPr>
      </w:pPr>
    </w:p>
    <w:p>
      <w:pPr>
        <w:ind w:left="780" w:hanging="420"/>
        <w:spacing w:after="0" w:line="255" w:lineRule="exact"/>
        <w:tabs>
          <w:tab w:leader="none" w:pos="780" w:val="left"/>
        </w:tabs>
        <w:numPr>
          <w:ilvl w:val="0"/>
          <w:numId w:val="18"/>
        </w:numPr>
        <w:rPr>
          <w:rFonts w:ascii="Wingdings" w:cs="Wingdings" w:eastAsia="Wingdings" w:hAnsi="Wingdings"/>
          <w:sz w:val="21"/>
          <w:szCs w:val="21"/>
          <w:b w:val="1"/>
          <w:bCs w:val="1"/>
          <w:color w:val="auto"/>
        </w:rPr>
      </w:pPr>
      <w:r>
        <w:rPr>
          <w:rFonts w:ascii="宋体" w:cs="宋体" w:eastAsia="宋体" w:hAnsi="宋体"/>
          <w:sz w:val="21"/>
          <w:szCs w:val="21"/>
          <w:color w:val="auto"/>
        </w:rPr>
        <w:t>有意申请项目同学请尽早联系</w:t>
      </w:r>
      <w:r>
        <w:rPr>
          <w:rFonts w:ascii="Arial Narrow" w:cs="Arial Narrow" w:eastAsia="Arial Narrow" w:hAnsi="Arial Narrow"/>
          <w:sz w:val="21"/>
          <w:szCs w:val="21"/>
          <w:color w:val="auto"/>
        </w:rPr>
        <w:t xml:space="preserve"> SAF </w:t>
      </w:r>
      <w:r>
        <w:rPr>
          <w:rFonts w:ascii="宋体" w:cs="宋体" w:eastAsia="宋体" w:hAnsi="宋体"/>
          <w:sz w:val="21"/>
          <w:szCs w:val="21"/>
          <w:color w:val="auto"/>
        </w:rPr>
        <w:t>指导老师，获得详细咨询及指导。</w:t>
      </w:r>
    </w:p>
    <w:p>
      <w:pPr>
        <w:spacing w:after="0" w:line="200" w:lineRule="exact"/>
        <w:rPr>
          <w:sz w:val="20"/>
          <w:szCs w:val="20"/>
          <w:color w:val="auto"/>
        </w:rPr>
      </w:pPr>
    </w:p>
    <w:p>
      <w:pPr>
        <w:spacing w:after="0" w:line="281" w:lineRule="exact"/>
        <w:rPr>
          <w:sz w:val="20"/>
          <w:szCs w:val="20"/>
          <w:color w:val="auto"/>
        </w:rPr>
      </w:pPr>
    </w:p>
    <w:p>
      <w:pPr>
        <w:spacing w:after="0" w:line="240" w:lineRule="exact"/>
        <w:tabs>
          <w:tab w:leader="none" w:pos="820" w:val="left"/>
        </w:tabs>
        <w:rPr>
          <w:sz w:val="20"/>
          <w:szCs w:val="20"/>
          <w:color w:val="auto"/>
        </w:rPr>
      </w:pPr>
      <w:r>
        <w:rPr>
          <w:rFonts w:ascii="宋体" w:cs="宋体" w:eastAsia="宋体" w:hAnsi="宋体"/>
          <w:sz w:val="21"/>
          <w:szCs w:val="21"/>
          <w:b w:val="1"/>
          <w:bCs w:val="1"/>
          <w:color w:val="auto"/>
        </w:rPr>
        <w:t>八、</w:t>
        <w:tab/>
        <w:t>项目联系人</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海外学习基金会中国各地办公室</w:t>
      </w:r>
    </w:p>
    <w:p>
      <w:pPr>
        <w:spacing w:after="0" w:line="12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北京办公室</w:t>
      </w:r>
    </w:p>
    <w:p>
      <w:pPr>
        <w:spacing w:after="0" w:line="100"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地址：北京市朝阳区东大桥路</w:t>
      </w:r>
      <w:r>
        <w:rPr>
          <w:rFonts w:ascii="Arial Narrow" w:cs="Arial Narrow" w:eastAsia="Arial Narrow" w:hAnsi="Arial Narrow"/>
          <w:sz w:val="21"/>
          <w:szCs w:val="21"/>
          <w:color w:val="auto"/>
        </w:rPr>
        <w:t xml:space="preserve"> 8 </w:t>
      </w:r>
      <w:r>
        <w:rPr>
          <w:rFonts w:ascii="宋体" w:cs="宋体" w:eastAsia="宋体" w:hAnsi="宋体"/>
          <w:sz w:val="21"/>
          <w:szCs w:val="21"/>
          <w:color w:val="auto"/>
        </w:rPr>
        <w:t>号尚都国际中心</w:t>
      </w:r>
      <w:r>
        <w:rPr>
          <w:rFonts w:ascii="Arial Narrow" w:cs="Arial Narrow" w:eastAsia="Arial Narrow" w:hAnsi="Arial Narrow"/>
          <w:sz w:val="21"/>
          <w:szCs w:val="21"/>
          <w:color w:val="auto"/>
        </w:rPr>
        <w:t xml:space="preserve"> A </w:t>
      </w:r>
      <w:r>
        <w:rPr>
          <w:rFonts w:ascii="宋体" w:cs="宋体" w:eastAsia="宋体" w:hAnsi="宋体"/>
          <w:sz w:val="21"/>
          <w:szCs w:val="21"/>
          <w:color w:val="auto"/>
        </w:rPr>
        <w:t>座</w:t>
      </w:r>
      <w:r>
        <w:rPr>
          <w:rFonts w:ascii="Arial Narrow" w:cs="Arial Narrow" w:eastAsia="Arial Narrow" w:hAnsi="Arial Narrow"/>
          <w:sz w:val="21"/>
          <w:szCs w:val="21"/>
          <w:color w:val="auto"/>
        </w:rPr>
        <w:t xml:space="preserve"> 2310 </w:t>
      </w:r>
      <w:r>
        <w:rPr>
          <w:rFonts w:ascii="宋体" w:cs="宋体" w:eastAsia="宋体" w:hAnsi="宋体"/>
          <w:sz w:val="21"/>
          <w:szCs w:val="21"/>
          <w:color w:val="auto"/>
        </w:rPr>
        <w:t>室；</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电话：</w:t>
      </w:r>
      <w:r>
        <w:rPr>
          <w:rFonts w:ascii="Arial Narrow" w:cs="Arial Narrow" w:eastAsia="Arial Narrow" w:hAnsi="Arial Narrow"/>
          <w:sz w:val="21"/>
          <w:szCs w:val="21"/>
          <w:color w:val="auto"/>
        </w:rPr>
        <w:t>010-58700881</w:t>
      </w:r>
    </w:p>
    <w:p>
      <w:pPr>
        <w:spacing w:after="0" w:line="103"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QQ</w:t>
      </w:r>
      <w:r>
        <w:rPr>
          <w:rFonts w:ascii="宋体" w:cs="宋体" w:eastAsia="宋体" w:hAnsi="宋体"/>
          <w:sz w:val="21"/>
          <w:szCs w:val="21"/>
          <w:color w:val="auto"/>
        </w:rPr>
        <w:t>：</w:t>
      </w:r>
      <w:r>
        <w:rPr>
          <w:rFonts w:ascii="Arial Narrow" w:cs="Arial Narrow" w:eastAsia="Arial Narrow" w:hAnsi="Arial Narrow"/>
          <w:sz w:val="21"/>
          <w:szCs w:val="21"/>
          <w:color w:val="auto"/>
        </w:rPr>
        <w:t>1512272501</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电邮：</w:t>
      </w:r>
      <w:r>
        <w:rPr>
          <w:rFonts w:ascii="Arial Narrow" w:cs="Arial Narrow" w:eastAsia="Arial Narrow" w:hAnsi="Arial Narrow"/>
          <w:sz w:val="21"/>
          <w:szCs w:val="21"/>
          <w:color w:val="auto"/>
        </w:rPr>
        <w:t>info@safchina.org</w:t>
      </w:r>
    </w:p>
    <w:p>
      <w:pPr>
        <w:spacing w:after="0" w:line="116" w:lineRule="exact"/>
        <w:rPr>
          <w:sz w:val="20"/>
          <w:szCs w:val="20"/>
          <w:color w:val="auto"/>
        </w:rPr>
      </w:pPr>
    </w:p>
    <w:p>
      <w:pPr>
        <w:ind w:left="420"/>
        <w:spacing w:after="0" w:line="267" w:lineRule="exact"/>
        <w:rPr>
          <w:rFonts w:ascii="Calibri" w:cs="Calibri" w:eastAsia="Calibri" w:hAnsi="Calibri"/>
          <w:sz w:val="21"/>
          <w:szCs w:val="21"/>
          <w:color w:val="auto"/>
        </w:rPr>
      </w:pPr>
      <w:hyperlink r:id="rId17"/>
      <w:r>
        <w:rPr>
          <w:rFonts w:ascii="宋体" w:cs="宋体" w:eastAsia="宋体" w:hAnsi="宋体"/>
          <w:sz w:val="21"/>
          <w:szCs w:val="21"/>
          <w:color w:val="auto"/>
        </w:rPr>
        <w:t>官网：</w:t>
      </w:r>
      <w:hyperlink r:id="rId17">
        <w:r>
          <w:rPr>
            <w:rFonts w:ascii="Calibri" w:cs="Calibri" w:eastAsia="Calibri" w:hAnsi="Calibri"/>
            <w:sz w:val="21"/>
            <w:szCs w:val="21"/>
            <w:color w:val="auto"/>
          </w:rPr>
          <w:t>https://www.safchina.cn/</w:t>
        </w:r>
      </w:hyperlink>
    </w:p>
    <w:p>
      <w:pPr>
        <w:spacing w:after="0" w:line="81"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微信公众号：</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海外名校交流</w:t>
      </w:r>
    </w:p>
    <w:p>
      <w:pPr>
        <w:spacing w:after="0" w:line="200" w:lineRule="exact"/>
        <w:rPr>
          <w:sz w:val="20"/>
          <w:szCs w:val="20"/>
          <w:color w:val="auto"/>
        </w:rPr>
      </w:pPr>
    </w:p>
    <w:p>
      <w:pPr>
        <w:spacing w:after="0" w:line="28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上海办公室</w:t>
      </w:r>
    </w:p>
    <w:p>
      <w:pPr>
        <w:spacing w:after="0" w:line="100"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地址：上海市静安区北京西路</w:t>
      </w:r>
      <w:r>
        <w:rPr>
          <w:rFonts w:ascii="Arial Narrow" w:cs="Arial Narrow" w:eastAsia="Arial Narrow" w:hAnsi="Arial Narrow"/>
          <w:sz w:val="21"/>
          <w:szCs w:val="21"/>
          <w:color w:val="auto"/>
        </w:rPr>
        <w:t xml:space="preserve"> 1701 </w:t>
      </w:r>
      <w:r>
        <w:rPr>
          <w:rFonts w:ascii="宋体" w:cs="宋体" w:eastAsia="宋体" w:hAnsi="宋体"/>
          <w:sz w:val="21"/>
          <w:szCs w:val="21"/>
          <w:color w:val="auto"/>
        </w:rPr>
        <w:t>号中华大厦</w:t>
      </w:r>
      <w:r>
        <w:rPr>
          <w:rFonts w:ascii="Arial Narrow" w:cs="Arial Narrow" w:eastAsia="Arial Narrow" w:hAnsi="Arial Narrow"/>
          <w:sz w:val="21"/>
          <w:szCs w:val="21"/>
          <w:color w:val="auto"/>
        </w:rPr>
        <w:t xml:space="preserve"> 307 </w:t>
      </w:r>
      <w:r>
        <w:rPr>
          <w:rFonts w:ascii="宋体" w:cs="宋体" w:eastAsia="宋体" w:hAnsi="宋体"/>
          <w:sz w:val="21"/>
          <w:szCs w:val="21"/>
          <w:color w:val="auto"/>
        </w:rPr>
        <w:t>室；</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电话：</w:t>
      </w:r>
      <w:r>
        <w:rPr>
          <w:rFonts w:ascii="Arial Narrow" w:cs="Arial Narrow" w:eastAsia="Arial Narrow" w:hAnsi="Arial Narrow"/>
          <w:sz w:val="21"/>
          <w:szCs w:val="21"/>
          <w:color w:val="auto"/>
        </w:rPr>
        <w:t>021-66099952</w:t>
      </w:r>
    </w:p>
    <w:p>
      <w:pPr>
        <w:spacing w:after="0" w:line="103"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QQ</w:t>
      </w:r>
      <w:r>
        <w:rPr>
          <w:rFonts w:ascii="宋体" w:cs="宋体" w:eastAsia="宋体" w:hAnsi="宋体"/>
          <w:sz w:val="21"/>
          <w:szCs w:val="21"/>
          <w:color w:val="auto"/>
        </w:rPr>
        <w:t>：</w:t>
      </w:r>
      <w:r>
        <w:rPr>
          <w:rFonts w:ascii="Arial Narrow" w:cs="Arial Narrow" w:eastAsia="Arial Narrow" w:hAnsi="Arial Narrow"/>
          <w:sz w:val="21"/>
          <w:szCs w:val="21"/>
          <w:color w:val="auto"/>
        </w:rPr>
        <w:t>475490368</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电邮：</w:t>
      </w:r>
      <w:r>
        <w:rPr>
          <w:rFonts w:ascii="Arial Narrow" w:cs="Arial Narrow" w:eastAsia="Arial Narrow" w:hAnsi="Arial Narrow"/>
          <w:sz w:val="21"/>
          <w:szCs w:val="21"/>
          <w:color w:val="auto"/>
        </w:rPr>
        <w:t xml:space="preserve"> info@safchina.org</w:t>
      </w:r>
    </w:p>
    <w:p>
      <w:pPr>
        <w:spacing w:after="0" w:line="116" w:lineRule="exact"/>
        <w:rPr>
          <w:sz w:val="20"/>
          <w:szCs w:val="20"/>
          <w:color w:val="auto"/>
        </w:rPr>
      </w:pPr>
    </w:p>
    <w:p>
      <w:pPr>
        <w:ind w:left="420"/>
        <w:spacing w:after="0" w:line="267" w:lineRule="exact"/>
        <w:rPr>
          <w:rFonts w:ascii="Calibri" w:cs="Calibri" w:eastAsia="Calibri" w:hAnsi="Calibri"/>
          <w:sz w:val="21"/>
          <w:szCs w:val="21"/>
          <w:color w:val="auto"/>
        </w:rPr>
      </w:pPr>
      <w:hyperlink r:id="rId17"/>
      <w:r>
        <w:rPr>
          <w:rFonts w:ascii="宋体" w:cs="宋体" w:eastAsia="宋体" w:hAnsi="宋体"/>
          <w:sz w:val="21"/>
          <w:szCs w:val="21"/>
          <w:color w:val="auto"/>
        </w:rPr>
        <w:t>官网：</w:t>
      </w:r>
      <w:hyperlink r:id="rId17">
        <w:r>
          <w:rPr>
            <w:rFonts w:ascii="Calibri" w:cs="Calibri" w:eastAsia="Calibri" w:hAnsi="Calibri"/>
            <w:sz w:val="21"/>
            <w:szCs w:val="21"/>
            <w:color w:val="auto"/>
          </w:rPr>
          <w:t>https://www.safchina.cn/</w:t>
        </w:r>
      </w:hyperlink>
    </w:p>
    <w:p>
      <w:pPr>
        <w:spacing w:after="0" w:line="81" w:lineRule="exact"/>
        <w:rPr>
          <w:sz w:val="20"/>
          <w:szCs w:val="20"/>
          <w:color w:val="auto"/>
        </w:rPr>
      </w:pPr>
    </w:p>
    <w:p>
      <w:pPr>
        <w:ind w:left="520"/>
        <w:spacing w:after="0" w:line="255" w:lineRule="exact"/>
        <w:rPr>
          <w:sz w:val="20"/>
          <w:szCs w:val="20"/>
          <w:color w:val="auto"/>
        </w:rPr>
      </w:pP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微信公众号：</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海外名校交流</w:t>
      </w:r>
    </w:p>
    <w:p>
      <w:pPr>
        <w:spacing w:after="0" w:line="200" w:lineRule="exact"/>
        <w:rPr>
          <w:sz w:val="20"/>
          <w:szCs w:val="20"/>
          <w:color w:val="auto"/>
        </w:rPr>
      </w:pPr>
    </w:p>
    <w:p>
      <w:pPr>
        <w:spacing w:after="0" w:line="28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广州办公室</w:t>
      </w:r>
    </w:p>
    <w:p>
      <w:pPr>
        <w:spacing w:after="0" w:line="100"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地址：广东省广州市越秀区中山三路</w:t>
      </w:r>
      <w:r>
        <w:rPr>
          <w:rFonts w:ascii="Arial Narrow" w:cs="Arial Narrow" w:eastAsia="Arial Narrow" w:hAnsi="Arial Narrow"/>
          <w:sz w:val="21"/>
          <w:szCs w:val="21"/>
          <w:color w:val="auto"/>
        </w:rPr>
        <w:t xml:space="preserve"> 33 </w:t>
      </w:r>
      <w:r>
        <w:rPr>
          <w:rFonts w:ascii="宋体" w:cs="宋体" w:eastAsia="宋体" w:hAnsi="宋体"/>
          <w:sz w:val="21"/>
          <w:szCs w:val="21"/>
          <w:color w:val="auto"/>
        </w:rPr>
        <w:t>号中化国际中心</w:t>
      </w:r>
      <w:r>
        <w:rPr>
          <w:rFonts w:ascii="Arial Narrow" w:cs="Arial Narrow" w:eastAsia="Arial Narrow" w:hAnsi="Arial Narrow"/>
          <w:sz w:val="21"/>
          <w:szCs w:val="21"/>
          <w:color w:val="auto"/>
        </w:rPr>
        <w:t xml:space="preserve"> A </w:t>
      </w:r>
      <w:r>
        <w:rPr>
          <w:rFonts w:ascii="宋体" w:cs="宋体" w:eastAsia="宋体" w:hAnsi="宋体"/>
          <w:sz w:val="21"/>
          <w:szCs w:val="21"/>
          <w:color w:val="auto"/>
        </w:rPr>
        <w:t>座</w:t>
      </w:r>
      <w:r>
        <w:rPr>
          <w:rFonts w:ascii="Arial Narrow" w:cs="Arial Narrow" w:eastAsia="Arial Narrow" w:hAnsi="Arial Narrow"/>
          <w:sz w:val="21"/>
          <w:szCs w:val="21"/>
          <w:color w:val="auto"/>
        </w:rPr>
        <w:t xml:space="preserve"> 14 </w:t>
      </w:r>
      <w:r>
        <w:rPr>
          <w:rFonts w:ascii="宋体" w:cs="宋体" w:eastAsia="宋体" w:hAnsi="宋体"/>
          <w:sz w:val="21"/>
          <w:szCs w:val="21"/>
          <w:color w:val="auto"/>
        </w:rPr>
        <w:t>楼</w:t>
      </w:r>
      <w:r>
        <w:rPr>
          <w:rFonts w:ascii="Arial Narrow" w:cs="Arial Narrow" w:eastAsia="Arial Narrow" w:hAnsi="Arial Narrow"/>
          <w:sz w:val="21"/>
          <w:szCs w:val="21"/>
          <w:color w:val="auto"/>
        </w:rPr>
        <w:t xml:space="preserve"> 1437 </w:t>
      </w:r>
      <w:r>
        <w:rPr>
          <w:rFonts w:ascii="宋体" w:cs="宋体" w:eastAsia="宋体" w:hAnsi="宋体"/>
          <w:sz w:val="21"/>
          <w:szCs w:val="21"/>
          <w:color w:val="auto"/>
        </w:rPr>
        <w:t>室；</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电话：</w:t>
      </w:r>
      <w:r>
        <w:rPr>
          <w:rFonts w:ascii="Arial Narrow" w:cs="Arial Narrow" w:eastAsia="Arial Narrow" w:hAnsi="Arial Narrow"/>
          <w:sz w:val="21"/>
          <w:szCs w:val="21"/>
          <w:color w:val="auto"/>
        </w:rPr>
        <w:t>020-81148366</w:t>
      </w:r>
    </w:p>
    <w:p>
      <w:pPr>
        <w:spacing w:after="0" w:line="103"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QQ</w:t>
      </w:r>
      <w:r>
        <w:rPr>
          <w:rFonts w:ascii="宋体" w:cs="宋体" w:eastAsia="宋体" w:hAnsi="宋体"/>
          <w:sz w:val="21"/>
          <w:szCs w:val="21"/>
          <w:color w:val="auto"/>
        </w:rPr>
        <w:t>：</w:t>
      </w:r>
      <w:r>
        <w:rPr>
          <w:rFonts w:ascii="Arial Narrow" w:cs="Arial Narrow" w:eastAsia="Arial Narrow" w:hAnsi="Arial Narrow"/>
          <w:sz w:val="21"/>
          <w:szCs w:val="21"/>
          <w:color w:val="auto"/>
        </w:rPr>
        <w:t>2974528477</w:t>
      </w:r>
    </w:p>
    <w:p>
      <w:pPr>
        <w:spacing w:after="0" w:line="106"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电邮：</w:t>
      </w:r>
      <w:r>
        <w:rPr>
          <w:rFonts w:ascii="Arial Narrow" w:cs="Arial Narrow" w:eastAsia="Arial Narrow" w:hAnsi="Arial Narrow"/>
          <w:sz w:val="21"/>
          <w:szCs w:val="21"/>
          <w:color w:val="auto"/>
        </w:rPr>
        <w:t xml:space="preserve"> info@safchina.org</w:t>
      </w:r>
    </w:p>
    <w:p>
      <w:pPr>
        <w:spacing w:after="0" w:line="116" w:lineRule="exact"/>
        <w:rPr>
          <w:sz w:val="20"/>
          <w:szCs w:val="20"/>
          <w:color w:val="auto"/>
        </w:rPr>
      </w:pPr>
    </w:p>
    <w:p>
      <w:pPr>
        <w:ind w:left="420"/>
        <w:spacing w:after="0" w:line="267" w:lineRule="exact"/>
        <w:rPr>
          <w:rFonts w:ascii="Calibri" w:cs="Calibri" w:eastAsia="Calibri" w:hAnsi="Calibri"/>
          <w:sz w:val="21"/>
          <w:szCs w:val="21"/>
          <w:color w:val="auto"/>
        </w:rPr>
      </w:pPr>
      <w:hyperlink r:id="rId17"/>
      <w:r>
        <w:rPr>
          <w:rFonts w:ascii="宋体" w:cs="宋体" w:eastAsia="宋体" w:hAnsi="宋体"/>
          <w:sz w:val="21"/>
          <w:szCs w:val="21"/>
          <w:color w:val="auto"/>
        </w:rPr>
        <w:t>官网：</w:t>
      </w:r>
      <w:hyperlink r:id="rId17">
        <w:r>
          <w:rPr>
            <w:rFonts w:ascii="Calibri" w:cs="Calibri" w:eastAsia="Calibri" w:hAnsi="Calibri"/>
            <w:sz w:val="21"/>
            <w:szCs w:val="21"/>
            <w:color w:val="auto"/>
          </w:rPr>
          <w:t>https://www.safchina.cn/</w:t>
        </w:r>
      </w:hyperlink>
    </w:p>
    <w:p>
      <w:pPr>
        <w:spacing w:after="0" w:line="81" w:lineRule="exact"/>
        <w:rPr>
          <w:sz w:val="20"/>
          <w:szCs w:val="20"/>
          <w:color w:val="auto"/>
        </w:rPr>
      </w:pPr>
    </w:p>
    <w:p>
      <w:pPr>
        <w:ind w:left="420"/>
        <w:spacing w:after="0" w:line="255" w:lineRule="exact"/>
        <w:rPr>
          <w:sz w:val="20"/>
          <w:szCs w:val="20"/>
          <w:color w:val="auto"/>
        </w:rPr>
      </w:pP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微信公众号：</w:t>
      </w:r>
      <w:r>
        <w:rPr>
          <w:rFonts w:ascii="Arial Narrow" w:cs="Arial Narrow" w:eastAsia="Arial Narrow" w:hAnsi="Arial Narrow"/>
          <w:sz w:val="21"/>
          <w:szCs w:val="21"/>
          <w:color w:val="auto"/>
        </w:rPr>
        <w:t xml:space="preserve">SAF </w:t>
      </w:r>
      <w:r>
        <w:rPr>
          <w:rFonts w:ascii="宋体" w:cs="宋体" w:eastAsia="宋体" w:hAnsi="宋体"/>
          <w:sz w:val="21"/>
          <w:szCs w:val="21"/>
          <w:color w:val="auto"/>
        </w:rPr>
        <w:t>海外名校交流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353"/>
        <w:spacing w:after="0"/>
        <w:rPr>
          <w:sz w:val="20"/>
          <w:szCs w:val="20"/>
          <w:color w:val="auto"/>
        </w:rPr>
      </w:pPr>
      <w:r>
        <w:rPr>
          <w:rFonts w:ascii="Arial Narrow" w:cs="Arial Narrow" w:eastAsia="Arial Narrow" w:hAnsi="Arial Narrow"/>
          <w:sz w:val="18"/>
          <w:szCs w:val="18"/>
          <w:color w:val="auto"/>
        </w:rPr>
        <w:t>6</w:t>
      </w:r>
    </w:p>
    <w:sectPr>
      <w:pgSz w:w="11900" w:h="16838" w:orient="portrait"/>
      <w:cols w:equalWidth="0" w:num="1">
        <w:col w:w="9386"/>
      </w:cols>
      <w:pgMar w:left="1080" w:top="1440" w:right="1440" w:bottom="6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Narrow">
    <w:panose1 w:val="020B0606020202030204"/>
    <w:charset w:val="00"/>
    <w:family w:val="swiss"/>
    <w:pitch w:val="variable"/>
    <w:sig w:usb0="00000287" w:usb1="00000800" w:usb2="00000000" w:usb3="00000000" w:csb0="2000009F" w:csb1="DFD70000"/>
  </w:font>
  <w:font w:name="Wingdings">
    <w:panose1 w:val="05000000000000000000"/>
    <w:charset w:val="00"/>
    <w:family w:val="auto"/>
    <w:pitch w:val="variable"/>
    <w:sig w:usb0="00000000" w:usb1="00000000" w:usb2="00000000" w:usb3="00000000" w:csb0="80000000"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http://schemas.openxmlformats.org/wordprocessingml/2006/main">
  <w:abstractNum w:abstractNumId="0">
    <w:nsid w:val="124"/>
    <w:multiLevelType w:val="hybridMultilevel"/>
    <w:lvl w:ilvl="0">
      <w:lvlJc w:val="left"/>
      <w:lvlText w:val="%1."/>
      <w:numFmt w:val="decimal"/>
      <w:start w:val="1"/>
    </w:lvl>
    <w:lvl w:ilvl="1">
      <w:lvlJc w:val="left"/>
      <w:lvlText w:val="·"/>
      <w:numFmt w:val="bullet"/>
      <w:start w:val="1"/>
    </w:lvl>
  </w:abstractNum>
  <w:abstractNum w:abstractNumId="1">
    <w:nsid w:val="305E"/>
    <w:multiLevelType w:val="hybridMultilevel"/>
    <w:lvl w:ilvl="0">
      <w:lvlJc w:val="left"/>
      <w:lvlText w:val="·"/>
      <w:numFmt w:val="bullet"/>
      <w:start w:val="1"/>
    </w:lvl>
  </w:abstractNum>
  <w:abstractNum w:abstractNumId="2">
    <w:nsid w:val="440D"/>
    <w:multiLevelType w:val="hybridMultilevel"/>
    <w:lvl w:ilvl="0">
      <w:lvlJc w:val="left"/>
      <w:lvlText w:val="·"/>
      <w:numFmt w:val="bullet"/>
      <w:start w:val="1"/>
    </w:lvl>
  </w:abstractNum>
  <w:abstractNum w:abstractNumId="3">
    <w:nsid w:val="491C"/>
    <w:multiLevelType w:val="hybridMultilevel"/>
    <w:lvl w:ilvl="0">
      <w:lvlJc w:val="left"/>
      <w:lvlText w:val="%1."/>
      <w:numFmt w:val="decimal"/>
      <w:start w:val="1"/>
    </w:lvl>
    <w:lvl w:ilvl="1">
      <w:lvlJc w:val="left"/>
      <w:lvlText w:val=""/>
      <w:numFmt w:val="bullet"/>
      <w:start w:val="1"/>
    </w:lvl>
  </w:abstractNum>
  <w:abstractNum w:abstractNumId="4">
    <w:nsid w:val="4D06"/>
    <w:multiLevelType w:val="hybridMultilevel"/>
    <w:lvl w:ilvl="0">
      <w:lvlJc w:val="left"/>
      <w:lvlText w:val=""/>
      <w:numFmt w:val="bullet"/>
      <w:start w:val="1"/>
    </w:lvl>
  </w:abstractNum>
  <w:abstractNum w:abstractNumId="5">
    <w:nsid w:val="4DB7"/>
    <w:multiLevelType w:val="hybridMultilevel"/>
    <w:lvl w:ilvl="0">
      <w:lvlJc w:val="left"/>
      <w:lvlText w:val=""/>
      <w:numFmt w:val="bullet"/>
      <w:start w:val="1"/>
    </w:lvl>
  </w:abstractNum>
  <w:abstractNum w:abstractNumId="6">
    <w:nsid w:val="1547"/>
    <w:multiLevelType w:val="hybridMultilevel"/>
    <w:lvl w:ilvl="0">
      <w:lvlJc w:val="left"/>
      <w:lvlText w:val=""/>
      <w:numFmt w:val="bullet"/>
      <w:start w:val="1"/>
    </w:lvl>
  </w:abstractNum>
  <w:abstractNum w:abstractNumId="7">
    <w:nsid w:val="54DE"/>
    <w:multiLevelType w:val="hybridMultilevel"/>
    <w:lvl w:ilvl="0">
      <w:lvlJc w:val="left"/>
      <w:lvlText w:val=""/>
      <w:numFmt w:val="bullet"/>
      <w:start w:val="1"/>
    </w:lvl>
  </w:abstractNum>
  <w:abstractNum w:abstractNumId="8">
    <w:nsid w:val="39B3"/>
    <w:multiLevelType w:val="hybridMultilevel"/>
    <w:lvl w:ilvl="0">
      <w:lvlJc w:val="left"/>
      <w:lvlText w:val="%1."/>
      <w:numFmt w:val="decimal"/>
      <w:start w:val="1"/>
    </w:lvl>
    <w:lvl w:ilvl="1">
      <w:lvlJc w:val="left"/>
      <w:lvlText w:val=""/>
      <w:numFmt w:val="bullet"/>
      <w:start w:val="1"/>
    </w:lvl>
  </w:abstractNum>
  <w:abstractNum w:abstractNumId="9">
    <w:nsid w:val="2D12"/>
    <w:multiLevelType w:val="hybridMultilevel"/>
    <w:lvl w:ilvl="0">
      <w:lvlJc w:val="left"/>
      <w:lvlText w:val="·"/>
      <w:numFmt w:val="bullet"/>
      <w:start w:val="1"/>
    </w:lvl>
    <w:lvl w:ilvl="1">
      <w:lvlJc w:val="left"/>
      <w:lvlText w:val="-"/>
      <w:numFmt w:val="bullet"/>
      <w:start w:val="1"/>
    </w:lvl>
  </w:abstractNum>
  <w:abstractNum w:abstractNumId="10">
    <w:nsid w:val="74D"/>
    <w:multiLevelType w:val="hybridMultilevel"/>
    <w:lvl w:ilvl="0">
      <w:lvlJc w:val="left"/>
      <w:lvlText w:val="-"/>
      <w:numFmt w:val="bullet"/>
      <w:start w:val="1"/>
    </w:lvl>
  </w:abstractNum>
  <w:abstractNum w:abstractNumId="11">
    <w:nsid w:val="4DC8"/>
    <w:multiLevelType w:val="hybridMultilevel"/>
    <w:lvl w:ilvl="0">
      <w:lvlJc w:val="left"/>
      <w:lvlText w:val=""/>
      <w:numFmt w:val="bullet"/>
      <w:start w:val="1"/>
    </w:lvl>
  </w:abstractNum>
  <w:abstractNum w:abstractNumId="12">
    <w:nsid w:val="6443"/>
    <w:multiLevelType w:val="hybridMultilevel"/>
    <w:lvl w:ilvl="0">
      <w:lvlJc w:val="left"/>
      <w:lvlText w:val="%1)"/>
      <w:numFmt w:val="decimal"/>
      <w:start w:val="1"/>
    </w:lvl>
    <w:lvl w:ilvl="1">
      <w:lvlJc w:val="left"/>
      <w:lvlText w:val=""/>
      <w:numFmt w:val="bullet"/>
      <w:start w:val="1"/>
    </w:lvl>
  </w:abstractNum>
  <w:abstractNum w:abstractNumId="13">
    <w:nsid w:val="66BB"/>
    <w:multiLevelType w:val="hybridMultilevel"/>
    <w:lvl w:ilvl="0">
      <w:lvlJc w:val="left"/>
      <w:lvlText w:val="·"/>
      <w:numFmt w:val="bullet"/>
      <w:start w:val="1"/>
    </w:lvl>
  </w:abstractNum>
  <w:abstractNum w:abstractNumId="14">
    <w:nsid w:val="428B"/>
    <w:multiLevelType w:val="hybridMultilevel"/>
    <w:lvl w:ilvl="0">
      <w:lvlJc w:val="left"/>
      <w:lvlText w:val="·"/>
      <w:numFmt w:val="bullet"/>
      <w:start w:val="1"/>
    </w:lvl>
  </w:abstractNum>
  <w:abstractNum w:abstractNumId="15">
    <w:nsid w:val="26A6"/>
    <w:multiLevelType w:val="hybridMultilevel"/>
    <w:lvl w:ilvl="0">
      <w:lvlJc w:val="left"/>
      <w:lvlText w:val="%1."/>
      <w:numFmt w:val="decimal"/>
      <w:start w:val="1"/>
    </w:lvl>
    <w:lvl w:ilvl="1">
      <w:lvlJc w:val="left"/>
      <w:lvlText w:val="·"/>
      <w:numFmt w:val="bullet"/>
      <w:start w:val="1"/>
    </w:lvl>
  </w:abstractNum>
  <w:abstractNum w:abstractNumId="16">
    <w:nsid w:val="701F"/>
    <w:multiLevelType w:val="hybridMultilevel"/>
    <w:lvl w:ilvl="0">
      <w:lvlJc w:val="left"/>
      <w:lvlText w:val=""/>
      <w:numFmt w:val="bullet"/>
      <w:start w:val="1"/>
    </w:lvl>
  </w:abstractNum>
  <w:abstractNum w:abstractNumId="17">
    <w:nsid w:val="5D03"/>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6" Type="http://schemas.openxmlformats.org/officeDocument/2006/relationships/image" Target="media/image6.jpeg"/><Relationship Id="rId11" Type="http://schemas.openxmlformats.org/officeDocument/2006/relationships/hyperlink" Target="https://sa.ucla.edu/ro/public/soc" TargetMode="External"/><Relationship Id="rId12" Type="http://schemas.openxmlformats.org/officeDocument/2006/relationships/hyperlink" Target="https://www.uclaextension.edu/" TargetMode="External"/><Relationship Id="rId15" Type="http://schemas.openxmlformats.org/officeDocument/2006/relationships/hyperlink" Target="https://sisfbrenderer-100287.campusnet.net/#/renderer/14" TargetMode="External"/><Relationship Id="rId17" Type="http://schemas.openxmlformats.org/officeDocument/2006/relationships/hyperlink" Target="https://www.safchina.cn/"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2019-10-29T14:57:56Z</dcterms:created>
  <dcterms:modified xsi:type="dcterms:W3CDTF">2019-10-29T14:57:56Z</dcterms:modified>
</cp:coreProperties>
</file>